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C35D3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C558BD" w14:textId="29D5E96E" w:rsidR="00D47931" w:rsidRPr="00D9612A" w:rsidRDefault="00F04CD7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</w:rPr>
        <w:t>BANDO</w:t>
      </w:r>
      <w:r w:rsidR="00D47931" w:rsidRPr="00D9612A">
        <w:rPr>
          <w:rFonts w:ascii="Titillium" w:eastAsia="Times New Roman" w:hAnsi="Titillium" w:cs="Times New Roman"/>
          <w:b/>
          <w:sz w:val="24"/>
          <w:szCs w:val="24"/>
        </w:rPr>
        <w:t xml:space="preserve"> a CASCATA</w:t>
      </w:r>
    </w:p>
    <w:p w14:paraId="6BEA3535" w14:textId="154A6C80" w:rsidR="00D47931" w:rsidRPr="00D9612A" w:rsidRDefault="00E821E2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</w:rPr>
        <w:t>ai sensi dell’art. 4 del Decreto MUR n° 341 del 15 Marzo 2022 e dell’articolo 4 comma 6 del bando a cascata emanato con Decreto del Direttore Generale n. 382 del 2 aprile 2024 e rettificato con Decreto del Direttore Generale n. 466 del 17 aprile 2024</w:t>
      </w:r>
    </w:p>
    <w:p w14:paraId="3873F311" w14:textId="77777777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  <w:lang w:val="en-US"/>
        </w:rPr>
        <w:t>Progetto “Cultural Heritage Active Innovation for Sustainable Society (CHANGES)”</w:t>
      </w:r>
    </w:p>
    <w:p w14:paraId="5340AF30" w14:textId="77777777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i/>
          <w:sz w:val="24"/>
          <w:szCs w:val="24"/>
        </w:rPr>
        <w:t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NextGenerationEU</w:t>
      </w:r>
    </w:p>
    <w:p w14:paraId="738DA05F" w14:textId="2B1224FB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  <w:lang w:val="en-US"/>
        </w:rPr>
        <w:t>Codice progetto PE0000</w:t>
      </w:r>
      <w:r w:rsidR="00240D5A">
        <w:rPr>
          <w:rFonts w:ascii="Titillium" w:eastAsia="Times New Roman" w:hAnsi="Titillium" w:cs="Times New Roman"/>
          <w:b/>
          <w:sz w:val="24"/>
          <w:szCs w:val="24"/>
          <w:lang w:val="en-US"/>
        </w:rPr>
        <w:t>0</w:t>
      </w:r>
      <w:r w:rsidRPr="00D9612A">
        <w:rPr>
          <w:rFonts w:ascii="Titillium" w:eastAsia="Times New Roman" w:hAnsi="Titillium" w:cs="Times New Roman"/>
          <w:b/>
          <w:sz w:val="24"/>
          <w:szCs w:val="24"/>
          <w:lang w:val="en-US"/>
        </w:rPr>
        <w:t>020</w:t>
      </w:r>
    </w:p>
    <w:p w14:paraId="278CD2B6" w14:textId="77777777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  <w:lang w:val="en-US"/>
        </w:rPr>
        <w:t xml:space="preserve">SPOKE 3 </w:t>
      </w:r>
    </w:p>
    <w:p w14:paraId="607C5067" w14:textId="77777777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  <w:lang w:val="en-US"/>
        </w:rPr>
        <w:t>“Digital Libraries, Archives and Philology”</w:t>
      </w:r>
    </w:p>
    <w:p w14:paraId="1C2579C7" w14:textId="77777777" w:rsidR="00D47931" w:rsidRPr="00D9612A" w:rsidRDefault="00D47931" w:rsidP="00D47931">
      <w:pPr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sz w:val="24"/>
          <w:szCs w:val="24"/>
        </w:rPr>
        <w:t>CUP E53C22001650006</w:t>
      </w:r>
    </w:p>
    <w:p w14:paraId="516981E4" w14:textId="77777777" w:rsidR="00D47931" w:rsidRPr="00D9612A" w:rsidRDefault="00D47931" w:rsidP="00D47931">
      <w:pPr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bCs/>
          <w:sz w:val="24"/>
          <w:szCs w:val="24"/>
        </w:rPr>
        <w:t>Avviso pubblico per la presentazione di proposte progettuali per attività di ricerca svolte da Università, Enti Pubblici di Ricerca,</w:t>
      </w:r>
      <w:r w:rsidRPr="00D9612A" w:rsidDel="00205A62">
        <w:rPr>
          <w:rFonts w:ascii="Titillium" w:eastAsia="Times New Roman" w:hAnsi="Titillium" w:cs="Times New Roman"/>
          <w:b/>
          <w:bCs/>
          <w:sz w:val="24"/>
          <w:szCs w:val="24"/>
        </w:rPr>
        <w:t xml:space="preserve"> </w:t>
      </w:r>
      <w:r w:rsidRPr="00D9612A">
        <w:rPr>
          <w:rFonts w:ascii="Titillium" w:eastAsia="Times New Roman" w:hAnsi="Titillium" w:cs="Times New Roman"/>
          <w:b/>
          <w:bCs/>
          <w:sz w:val="24"/>
          <w:szCs w:val="24"/>
        </w:rPr>
        <w:t>altri Organismi di Ricerca e di diffusione delle conoscenze e imprese nell’ambito del Progetto “Cultural Heritage Active Innovation for Sustainable Society (CHANGES)”</w:t>
      </w:r>
    </w:p>
    <w:p w14:paraId="57A8D9B9" w14:textId="6D01C0E1" w:rsidR="00D47931" w:rsidRPr="00D9612A" w:rsidRDefault="00D47931" w:rsidP="00D47931">
      <w:pPr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  <w:r w:rsidRPr="00D9612A">
        <w:rPr>
          <w:rFonts w:ascii="Titillium" w:eastAsia="Times New Roman" w:hAnsi="Titillium" w:cs="Times New Roman"/>
          <w:b/>
          <w:bCs/>
          <w:sz w:val="24"/>
          <w:szCs w:val="24"/>
        </w:rPr>
        <w:t>Codice Bando PE00000020_</w:t>
      </w:r>
      <w:r w:rsidR="00E821E2" w:rsidRPr="00D9612A">
        <w:rPr>
          <w:rFonts w:ascii="Titillium" w:eastAsia="Times New Roman" w:hAnsi="Titillium" w:cs="Times New Roman"/>
          <w:b/>
          <w:bCs/>
          <w:sz w:val="24"/>
          <w:szCs w:val="24"/>
        </w:rPr>
        <w:t>2</w:t>
      </w:r>
    </w:p>
    <w:p w14:paraId="03B57C81" w14:textId="77777777" w:rsidR="00D47931" w:rsidRPr="00D9612A" w:rsidRDefault="00D47931" w:rsidP="00D47931">
      <w:pPr>
        <w:jc w:val="both"/>
        <w:rPr>
          <w:rStyle w:val="Riferimentointenso"/>
          <w:rFonts w:ascii="Titillium" w:hAnsi="Titillium" w:cs="Times New Roman"/>
          <w:sz w:val="24"/>
          <w:szCs w:val="24"/>
        </w:rPr>
      </w:pPr>
    </w:p>
    <w:p w14:paraId="647622B9" w14:textId="77777777" w:rsidR="00D47931" w:rsidRPr="00D9612A" w:rsidRDefault="00D47931" w:rsidP="00D47931">
      <w:pPr>
        <w:jc w:val="both"/>
        <w:rPr>
          <w:rStyle w:val="Riferimentointenso"/>
          <w:rFonts w:ascii="Titillium" w:hAnsi="Titillium" w:cs="Times New Roman"/>
          <w:sz w:val="24"/>
          <w:szCs w:val="24"/>
        </w:rPr>
      </w:pPr>
      <w:r w:rsidRPr="00D9612A">
        <w:rPr>
          <w:rStyle w:val="Riferimentointenso"/>
          <w:rFonts w:ascii="Titillium" w:hAnsi="Titillium" w:cs="Times New Roman"/>
          <w:sz w:val="24"/>
          <w:szCs w:val="24"/>
        </w:rPr>
        <w:t>ALLEGATO 7</w:t>
      </w:r>
    </w:p>
    <w:p w14:paraId="231F0673" w14:textId="686C80F6" w:rsidR="00D47931" w:rsidRPr="00D9612A" w:rsidRDefault="00D47931" w:rsidP="00D47931">
      <w:pPr>
        <w:jc w:val="both"/>
        <w:rPr>
          <w:rFonts w:ascii="Titillium" w:hAnsi="Titillium" w:cs="Times New Roman"/>
          <w:b/>
          <w:bCs/>
          <w:sz w:val="24"/>
          <w:szCs w:val="24"/>
        </w:rPr>
      </w:pPr>
      <w:r w:rsidRPr="00D9612A">
        <w:rPr>
          <w:rStyle w:val="Riferimentointenso"/>
          <w:rFonts w:ascii="Titillium" w:hAnsi="Titillium" w:cs="Times New Roman"/>
          <w:sz w:val="24"/>
          <w:szCs w:val="24"/>
        </w:rPr>
        <w:t>Rispetto dei principi PNRR</w:t>
      </w:r>
    </w:p>
    <w:p w14:paraId="78472B30" w14:textId="77777777" w:rsidR="00D47931" w:rsidRPr="00D9612A" w:rsidRDefault="00D47931" w:rsidP="00D47931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D47931" w:rsidRPr="00D9612A" w14:paraId="7DEB7192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50C03B" w14:textId="77777777" w:rsidR="00D47931" w:rsidRPr="00D9612A" w:rsidRDefault="00D47931" w:rsidP="00300D35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D9612A">
              <w:rPr>
                <w:rFonts w:ascii="Titillium" w:hAnsi="Titillium"/>
                <w:b/>
                <w:bCs/>
                <w:color w:val="000000"/>
              </w:rPr>
              <w:t xml:space="preserve">DATI </w:t>
            </w:r>
            <w:r w:rsidRPr="00D9612A">
              <w:rPr>
                <w:rFonts w:ascii="Titillium" w:hAnsi="Titillium"/>
                <w:b/>
                <w:bCs/>
                <w:color w:val="000000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D47931" w:rsidRPr="00D9612A" w14:paraId="20A4D28D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0DB95" w14:textId="77777777" w:rsidR="00D47931" w:rsidRPr="00D9612A" w:rsidRDefault="00D47931" w:rsidP="00300D35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D9612A">
              <w:rPr>
                <w:rFonts w:ascii="Titillium" w:hAnsi="Titillium"/>
                <w:b/>
                <w:bCs/>
                <w:color w:val="000000"/>
              </w:rPr>
              <w:t>Titolo del progetto:</w:t>
            </w:r>
          </w:p>
        </w:tc>
      </w:tr>
      <w:tr w:rsidR="00D47931" w:rsidRPr="00D9612A" w14:paraId="7AEF241A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2E2284" w14:textId="77777777" w:rsidR="00D47931" w:rsidRPr="00D9612A" w:rsidRDefault="00D47931" w:rsidP="00300D35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D9612A">
              <w:rPr>
                <w:rFonts w:ascii="Titillium" w:hAnsi="Titillium"/>
                <w:b/>
                <w:bCs/>
                <w:color w:val="000000"/>
              </w:rPr>
              <w:t>Acronimo:</w:t>
            </w:r>
          </w:p>
        </w:tc>
      </w:tr>
      <w:tr w:rsidR="00D47931" w:rsidRPr="00D9612A" w14:paraId="5ECF8762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48E6EA" w14:textId="77777777" w:rsidR="00D47931" w:rsidRPr="00D9612A" w:rsidRDefault="00D47931" w:rsidP="00300D35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</w:rPr>
            </w:pPr>
            <w:r w:rsidRPr="00D9612A">
              <w:rPr>
                <w:rFonts w:ascii="Titillium" w:hAnsi="Titillium"/>
                <w:b/>
                <w:bCs/>
                <w:color w:val="000000"/>
              </w:rPr>
              <w:t>Tematica:</w:t>
            </w:r>
          </w:p>
        </w:tc>
      </w:tr>
      <w:tr w:rsidR="00D47931" w:rsidRPr="00D9612A" w14:paraId="6B35E30A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89956A" w14:textId="77777777" w:rsidR="00D47931" w:rsidRPr="00D9612A" w:rsidRDefault="00D47931" w:rsidP="00300D35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</w:rPr>
            </w:pPr>
            <w:r w:rsidRPr="00D9612A">
              <w:rPr>
                <w:rFonts w:ascii="Titillium" w:hAnsi="Titillium"/>
                <w:b/>
                <w:bCs/>
                <w:color w:val="000000"/>
              </w:rPr>
              <w:t xml:space="preserve">Soggetto Proponente: </w:t>
            </w:r>
          </w:p>
        </w:tc>
      </w:tr>
    </w:tbl>
    <w:p w14:paraId="0D53E72E" w14:textId="5F99FE8D" w:rsidR="00D47931" w:rsidRPr="00D9612A" w:rsidRDefault="00D47931" w:rsidP="00D47931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p w14:paraId="31C7414A" w14:textId="77777777" w:rsidR="00D47931" w:rsidRPr="00D9612A" w:rsidRDefault="00D47931">
      <w:pPr>
        <w:spacing w:after="160" w:line="259" w:lineRule="auto"/>
        <w:rPr>
          <w:rFonts w:ascii="Titillium" w:eastAsia="Times New Roman" w:hAnsi="Titillium" w:cs="Times New Roman"/>
          <w:sz w:val="24"/>
          <w:szCs w:val="24"/>
        </w:rPr>
      </w:pPr>
      <w:r w:rsidRPr="00D9612A">
        <w:rPr>
          <w:rFonts w:ascii="Titillium" w:hAnsi="Titillium"/>
        </w:rPr>
        <w:br w:type="page"/>
      </w:r>
    </w:p>
    <w:p w14:paraId="1C14A8BC" w14:textId="77777777" w:rsidR="00D47931" w:rsidRPr="00D9612A" w:rsidRDefault="00D47931" w:rsidP="00D47931">
      <w:pPr>
        <w:pStyle w:val="v1msonormal"/>
        <w:spacing w:before="0" w:beforeAutospacing="0" w:after="0" w:afterAutospacing="0"/>
        <w:jc w:val="both"/>
        <w:rPr>
          <w:rFonts w:ascii="Titillium" w:hAnsi="Titillium"/>
        </w:rPr>
      </w:pPr>
    </w:p>
    <w:p w14:paraId="59410E6A" w14:textId="4D00B794" w:rsidR="00CB6575" w:rsidRPr="00D9612A" w:rsidRDefault="00CB6575" w:rsidP="00CB6575">
      <w:p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Il/la sottoscritta/o ___________________________________________, nato a _____________________, il ____________________, CF_________________________________, in qualità di legale rappresentante di ________________________________________, con sede legale in Via/piazza____________________________, n._______, cap._________, tel.____________, posta elettronica certificata</w:t>
      </w:r>
      <w:r w:rsidRPr="00D9612A">
        <w:rPr>
          <w:rFonts w:ascii="Titillium" w:hAnsi="Titillium" w:cs="Times New Roman"/>
          <w:sz w:val="24"/>
          <w:szCs w:val="24"/>
        </w:rPr>
        <w:tab/>
        <w:t>(PEC)___________________ai sensi degli artt. 46 e 47 del DPR n. 445/2000 e quindi consapevole delle responsabilità di ordine amministrativo, civile e penale in caso di dichiarazioni mendaci, ex art. 76 del DPR medesimo</w:t>
      </w:r>
    </w:p>
    <w:p w14:paraId="67CE9412" w14:textId="77777777" w:rsidR="00FB25A5" w:rsidRPr="00D9612A" w:rsidRDefault="00FB25A5" w:rsidP="00FB25A5">
      <w:pPr>
        <w:spacing w:before="240" w:after="240"/>
        <w:jc w:val="center"/>
        <w:rPr>
          <w:rFonts w:ascii="Titillium" w:hAnsi="Titillium" w:cs="Times New Roman"/>
          <w:b/>
          <w:bCs/>
          <w:sz w:val="24"/>
          <w:szCs w:val="24"/>
        </w:rPr>
      </w:pPr>
      <w:r w:rsidRPr="00D9612A">
        <w:rPr>
          <w:rFonts w:ascii="Titillium" w:hAnsi="Titillium" w:cs="Times New Roman"/>
          <w:b/>
          <w:bCs/>
          <w:sz w:val="24"/>
          <w:szCs w:val="24"/>
        </w:rPr>
        <w:t>DICHIARA SOTTO LA PROPRIA RESPONSABILITÀ</w:t>
      </w:r>
    </w:p>
    <w:p w14:paraId="7B1371A5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il progetto presentato non è finanziato da altre fonti del bilancio dell’Unione europea, in ottemperanza a quanto previsto dall’art. 9 del Reg. (UE) 2021/241;</w:t>
      </w:r>
    </w:p>
    <w:p w14:paraId="33FBB17E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la realizzazione delle attività progettuali prevede il rispetto del principio di addizionalità del sostegno dell’Unione europea previsto dall’art.9 del Reg. (UE) 2021/241;</w:t>
      </w:r>
    </w:p>
    <w:p w14:paraId="59D4EDA3" w14:textId="79731AF5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la realizzazione delle attività progettuali prevede di non arrecare un danno significativo agli obiettivi ambientali, ai sensi dell'articolo 17 del Reg. UE 2020/852;</w:t>
      </w:r>
    </w:p>
    <w:p w14:paraId="58AD6F43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che la realizzazione delle attività progettuali è coerente con i principi e gli obblighi specifici del PNRR relativamente al principio del “Do No Significant Harm” (DNSH) e, ove applicabili, ai principi del </w:t>
      </w:r>
      <w:r w:rsidRPr="00D9612A">
        <w:rPr>
          <w:rFonts w:ascii="Titillium" w:hAnsi="Titillium" w:cs="Times New Roman"/>
          <w:i/>
          <w:sz w:val="24"/>
          <w:szCs w:val="24"/>
        </w:rPr>
        <w:t xml:space="preserve">Tagging </w:t>
      </w:r>
      <w:r w:rsidRPr="00D9612A">
        <w:rPr>
          <w:rFonts w:ascii="Titillium" w:hAnsi="Titillium" w:cs="Times New Roman"/>
          <w:sz w:val="24"/>
          <w:szCs w:val="24"/>
        </w:rPr>
        <w:t>clima e digitale (se previsto), della parità di genere (</w:t>
      </w:r>
      <w:r w:rsidRPr="00D9612A">
        <w:rPr>
          <w:rFonts w:ascii="Titillium" w:hAnsi="Titillium" w:cs="Times New Roman"/>
          <w:i/>
          <w:sz w:val="24"/>
          <w:szCs w:val="24"/>
        </w:rPr>
        <w:t>Gender Equality</w:t>
      </w:r>
      <w:r w:rsidRPr="00D9612A">
        <w:rPr>
          <w:rFonts w:ascii="Titillium" w:hAnsi="Titillium" w:cs="Times New Roman"/>
          <w:sz w:val="24"/>
          <w:szCs w:val="24"/>
        </w:rPr>
        <w:t>), della protezione e valorizzazione dei giovani e del superamento dei divari territoriali;</w:t>
      </w:r>
    </w:p>
    <w:p w14:paraId="10925082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582745AB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5A8A508" w14:textId="1D4AD965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che adotterà misure adeguate volte a rispettare il principio di sana gestione finanziaria secondo quanto disciplinato nel Regolamento finanziario (UE, Euratom) 2018/1046 e nell’art. 22 del Reg. UE 2021/241, in particolare in materia di prevenzione dei conflitti di interessi, delle frodi, della corruzione e di recupero e restituzione dei fondi che sono stati indebitamente assegnati;</w:t>
      </w:r>
    </w:p>
    <w:p w14:paraId="61D02408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di disporre delle competenze, risorse e qualifiche professionali, sia tecniche che amministrative, necessarie per portare a termine il progetto e assicurare il raggiungimento di eventuali </w:t>
      </w:r>
      <w:r w:rsidRPr="00D9612A">
        <w:rPr>
          <w:rFonts w:ascii="Titillium" w:hAnsi="Titillium" w:cs="Times New Roman"/>
          <w:i/>
          <w:sz w:val="24"/>
          <w:szCs w:val="24"/>
        </w:rPr>
        <w:t xml:space="preserve">milestone e target </w:t>
      </w:r>
      <w:r w:rsidRPr="00D9612A">
        <w:rPr>
          <w:rFonts w:ascii="Titillium" w:hAnsi="Titillium" w:cs="Times New Roman"/>
          <w:sz w:val="24"/>
          <w:szCs w:val="24"/>
        </w:rPr>
        <w:t>associati;</w:t>
      </w:r>
    </w:p>
    <w:p w14:paraId="09033820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di aver considerato e valutato tutte le condizioni che possono incidere sull’ottenimento e utilizzo del finanziamento e di averne tenuto conto ai fini dell’elaborazione della proposta progettuale;</w:t>
      </w:r>
    </w:p>
    <w:p w14:paraId="5B8CE8B5" w14:textId="77777777" w:rsidR="00FB25A5" w:rsidRPr="00D9612A" w:rsidRDefault="00FB25A5" w:rsidP="00AB1C68">
      <w:pPr>
        <w:pStyle w:val="Paragrafoelenco"/>
        <w:numPr>
          <w:ilvl w:val="0"/>
          <w:numId w:val="4"/>
        </w:numPr>
        <w:spacing w:before="240" w:after="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normativa.</w:t>
      </w:r>
    </w:p>
    <w:p w14:paraId="47C853BA" w14:textId="15177A85" w:rsidR="00FB25A5" w:rsidRPr="00D9612A" w:rsidRDefault="004272D1" w:rsidP="00AB1C68">
      <w:pPr>
        <w:pStyle w:val="Paragrafoelenco"/>
        <w:numPr>
          <w:ilvl w:val="0"/>
          <w:numId w:val="4"/>
        </w:numPr>
        <w:spacing w:before="240" w:after="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lastRenderedPageBreak/>
        <w:t>di essere a conoscenza che l</w:t>
      </w:r>
      <w:r w:rsidR="00FB25A5" w:rsidRPr="00D9612A">
        <w:rPr>
          <w:rFonts w:ascii="Titillium" w:hAnsi="Titillium" w:cs="Times New Roman"/>
          <w:sz w:val="24"/>
          <w:szCs w:val="24"/>
        </w:rPr>
        <w:t>e iniziative dovranno coniugare i principi trasversali previsti ai sensi dei Reg. UE 2020/852 e Reg. UE 2021/241 allegati VI e VII, così come indicato al paragrafo 2.2 dell’Avviso.</w:t>
      </w:r>
    </w:p>
    <w:p w14:paraId="6B40D697" w14:textId="37A07BF8" w:rsidR="00FB25A5" w:rsidRPr="00D9612A" w:rsidRDefault="00FB25A5" w:rsidP="00AB1C68">
      <w:pPr>
        <w:pStyle w:val="Paragrafoelenco"/>
        <w:spacing w:before="240" w:after="240"/>
        <w:jc w:val="center"/>
        <w:rPr>
          <w:rFonts w:ascii="Titillium" w:hAnsi="Titillium" w:cs="Times New Roman"/>
          <w:b/>
          <w:sz w:val="24"/>
          <w:szCs w:val="24"/>
        </w:rPr>
      </w:pPr>
      <w:r w:rsidRPr="00D9612A">
        <w:rPr>
          <w:rFonts w:ascii="Titillium" w:hAnsi="Titillium" w:cs="Times New Roman"/>
          <w:b/>
          <w:sz w:val="24"/>
          <w:szCs w:val="24"/>
        </w:rPr>
        <w:t xml:space="preserve">e SI IMPEGNA </w:t>
      </w:r>
      <w:r w:rsidR="004272D1" w:rsidRPr="00D9612A">
        <w:rPr>
          <w:rFonts w:ascii="Titillium" w:hAnsi="Titillium" w:cs="Times New Roman"/>
          <w:b/>
          <w:sz w:val="24"/>
          <w:szCs w:val="24"/>
        </w:rPr>
        <w:t>A</w:t>
      </w:r>
    </w:p>
    <w:p w14:paraId="629ABE22" w14:textId="77777777" w:rsidR="00A566C7" w:rsidRPr="00D9612A" w:rsidRDefault="00A566C7" w:rsidP="00A566C7">
      <w:pPr>
        <w:pStyle w:val="Paragrafoelenco"/>
        <w:spacing w:before="240" w:after="240"/>
        <w:rPr>
          <w:rFonts w:ascii="Titillium" w:hAnsi="Titillium" w:cs="Times New Roman"/>
          <w:b/>
          <w:sz w:val="24"/>
          <w:szCs w:val="24"/>
        </w:rPr>
      </w:pPr>
    </w:p>
    <w:p w14:paraId="31755EC2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avviare tempestivamente le attività progettuali per non incorrere in ritardi attuativi e concludere il progetto nella forma, nei modi e nei tempi previsti e di sottoporre all’Amministrazione centrale responsabile di intervento le eventuali modifiche al progetto;</w:t>
      </w:r>
    </w:p>
    <w:p w14:paraId="7EC114B6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adottare un sistema di contabilità separata (o una codificazione contabile adeguata</w:t>
      </w:r>
      <w:r w:rsidRPr="00D9612A">
        <w:rPr>
          <w:rFonts w:ascii="Titillium" w:hAnsi="Titillium" w:cs="Times New Roman"/>
          <w:sz w:val="24"/>
          <w:szCs w:val="24"/>
          <w:vertAlign w:val="superscript"/>
        </w:rPr>
        <w:footnoteReference w:id="2"/>
      </w:r>
      <w:r w:rsidRPr="00D9612A">
        <w:rPr>
          <w:rFonts w:ascii="Titillium" w:hAnsi="Titillium" w:cs="Times New Roman"/>
          <w:sz w:val="24"/>
          <w:szCs w:val="24"/>
        </w:rPr>
        <w:t>) e informatizzata per tutte le transazioni relative al progetto per assicurare la tracciabilità dell’utilizzo delle risorse del PNRR;</w:t>
      </w:r>
    </w:p>
    <w:p w14:paraId="50447AF5" w14:textId="34671136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8F0688" w:rsidRPr="00D9612A">
        <w:rPr>
          <w:rFonts w:ascii="Titillium" w:hAnsi="Titillium" w:cs="Times New Roman"/>
          <w:sz w:val="24"/>
          <w:szCs w:val="24"/>
        </w:rPr>
        <w:t xml:space="preserve">allo Spoke e </w:t>
      </w:r>
      <w:r w:rsidRPr="00D9612A">
        <w:rPr>
          <w:rFonts w:ascii="Titillium" w:hAnsi="Titillium" w:cs="Times New Roman"/>
          <w:sz w:val="24"/>
          <w:szCs w:val="24"/>
        </w:rPr>
        <w:t>all’Amministrazione centrale responsabile di intervento, nonché la riferibilità delle spese al progetto ammesso al finanziamento sul PNRR;</w:t>
      </w:r>
    </w:p>
    <w:p w14:paraId="6E2DF81F" w14:textId="77777777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presentare la rendicontazione delle spese effettivamente sostenute o dei costi esposti maturati nel caso di ricorso alle opzioni semplificate in materia di costi, nei tempi e nei modi previsti dall’avviso pubblico;</w:t>
      </w:r>
    </w:p>
    <w:p w14:paraId="7494A569" w14:textId="49FD88D4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>rispettare gli adempimenti in materia di trasparenza amministrativa ex D.lgs. 25 maggio 2016, n. 97 e gli obblighi in materia di comunicazione e informazione previsti dall’art. 34 del Reg. UE 2021/241 indicando nella documentazione progettuale che il progetto è finanziato nell’ambito del PNRR, con una esplicita dichiarazione di finanziamento che reciti "</w:t>
      </w:r>
      <w:r w:rsidRPr="00D9612A">
        <w:rPr>
          <w:rFonts w:ascii="Titillium" w:hAnsi="Titillium" w:cs="Times New Roman"/>
          <w:i/>
          <w:sz w:val="24"/>
          <w:szCs w:val="24"/>
        </w:rPr>
        <w:t>finanziato dall'Unione europea - NextGenerationEU</w:t>
      </w:r>
      <w:r w:rsidRPr="00D9612A">
        <w:rPr>
          <w:rFonts w:ascii="Titillium" w:hAnsi="Titillium" w:cs="Times New Roman"/>
          <w:sz w:val="24"/>
          <w:szCs w:val="24"/>
        </w:rPr>
        <w:t>" e valorizzando l’emblema dell’Unione europea;</w:t>
      </w:r>
    </w:p>
    <w:p w14:paraId="059A9992" w14:textId="43C71C61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rispettare l’obbligo di rilevazione e imputazione nel sistema informatico dei dati di monitoraggio sull’avanzamento procedurale, fisico e finanziario del progetto, </w:t>
      </w:r>
      <w:r w:rsidR="005E0429" w:rsidRPr="00D9612A">
        <w:rPr>
          <w:rFonts w:ascii="Titillium" w:hAnsi="Titillium" w:cs="Times New Roman"/>
          <w:sz w:val="24"/>
          <w:szCs w:val="24"/>
        </w:rPr>
        <w:t xml:space="preserve">previsto </w:t>
      </w:r>
      <w:r w:rsidRPr="00D9612A">
        <w:rPr>
          <w:rFonts w:ascii="Titillium" w:hAnsi="Titillium" w:cs="Times New Roman"/>
          <w:sz w:val="24"/>
          <w:szCs w:val="24"/>
        </w:rPr>
        <w:t>dall’art. 22.2 lettera d) del Reg. UE 2021/241,</w:t>
      </w:r>
    </w:p>
    <w:p w14:paraId="17022339" w14:textId="5689779B" w:rsidR="00FB25A5" w:rsidRPr="00D9612A" w:rsidRDefault="00FB25A5" w:rsidP="00A566C7">
      <w:pPr>
        <w:pStyle w:val="Paragrafoelenco"/>
        <w:numPr>
          <w:ilvl w:val="0"/>
          <w:numId w:val="4"/>
        </w:numPr>
        <w:spacing w:before="240" w:after="24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comprovare il conseguimento dei </w:t>
      </w:r>
      <w:r w:rsidRPr="00D9612A">
        <w:rPr>
          <w:rFonts w:ascii="Titillium" w:hAnsi="Titillium" w:cs="Times New Roman"/>
          <w:i/>
          <w:sz w:val="24"/>
          <w:szCs w:val="24"/>
        </w:rPr>
        <w:t xml:space="preserve">target e dei milestone </w:t>
      </w:r>
      <w:r w:rsidRPr="00D9612A">
        <w:rPr>
          <w:rFonts w:ascii="Titillium" w:hAnsi="Titillium" w:cs="Times New Roman"/>
          <w:sz w:val="24"/>
          <w:szCs w:val="24"/>
        </w:rPr>
        <w:t xml:space="preserve">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- nel rispetto di quanto previsto dal D.lgs. 82/2005 e ss.mm.ii. e all’art. 9 punto 4 del decreto legge 77 del 31 maggio 2021, convertito con legge 29 luglio 2021, n. 108 - che, nelle diverse fasi di controllo e verifica previste dal sistema di gestione e controllo del PNRR, dovranno essere messi prontamente a disposizione su richiesta dell’Amministrazione centrale responsabile di intervento, del </w:t>
      </w:r>
      <w:r w:rsidR="00995D1B" w:rsidRPr="00D9612A">
        <w:rPr>
          <w:rFonts w:ascii="Titillium" w:hAnsi="Titillium" w:cs="Times New Roman"/>
          <w:sz w:val="24"/>
          <w:szCs w:val="24"/>
        </w:rPr>
        <w:t xml:space="preserve">MEF-Ispettorato generale </w:t>
      </w:r>
      <w:r w:rsidRPr="00D9612A">
        <w:rPr>
          <w:rFonts w:ascii="Titillium" w:hAnsi="Titillium" w:cs="Times New Roman"/>
          <w:sz w:val="24"/>
          <w:szCs w:val="24"/>
        </w:rPr>
        <w:t xml:space="preserve">per il PNRR, dell’Unità di Audit, </w:t>
      </w:r>
      <w:r w:rsidRPr="00D9612A">
        <w:rPr>
          <w:rFonts w:ascii="Titillium" w:hAnsi="Titillium" w:cs="Times New Roman"/>
          <w:sz w:val="24"/>
          <w:szCs w:val="24"/>
        </w:rPr>
        <w:lastRenderedPageBreak/>
        <w:t>della Commissione europea, dell’OLAF, della Corte dei Conti europea (ECA), della Procura europea (EPPO) e delle competenti Autorità giudiziarie nazionali.</w:t>
      </w:r>
    </w:p>
    <w:p w14:paraId="5D8EDAB3" w14:textId="17EF35D0" w:rsidR="00FB25A5" w:rsidRPr="00D9612A" w:rsidRDefault="00FB25A5" w:rsidP="00900EB5">
      <w:pPr>
        <w:spacing w:before="240" w:after="240"/>
        <w:ind w:left="360"/>
        <w:jc w:val="both"/>
        <w:rPr>
          <w:rFonts w:ascii="Titillium" w:hAnsi="Titillium" w:cs="Times New Roman"/>
          <w:sz w:val="24"/>
          <w:szCs w:val="24"/>
        </w:rPr>
      </w:pPr>
      <w:r w:rsidRPr="00D9612A">
        <w:rPr>
          <w:rFonts w:ascii="Titillium" w:hAnsi="Titillium" w:cs="Times New Roman"/>
          <w:sz w:val="24"/>
          <w:szCs w:val="24"/>
        </w:rPr>
        <w:t xml:space="preserve">Luogo, data e firma digitale      </w:t>
      </w:r>
      <w:r w:rsidR="00D47931" w:rsidRPr="00D9612A">
        <w:rPr>
          <w:rFonts w:ascii="Titillium" w:hAnsi="Titillium" w:cs="Times New Roman"/>
          <w:sz w:val="24"/>
          <w:szCs w:val="24"/>
        </w:rPr>
        <w:tab/>
      </w:r>
      <w:r w:rsidR="00D47931" w:rsidRPr="00D9612A">
        <w:rPr>
          <w:rFonts w:ascii="Titillium" w:hAnsi="Titillium" w:cs="Times New Roman"/>
          <w:sz w:val="24"/>
          <w:szCs w:val="24"/>
        </w:rPr>
        <w:tab/>
      </w:r>
      <w:r w:rsidR="00D47931" w:rsidRPr="00D9612A">
        <w:rPr>
          <w:rFonts w:ascii="Titillium" w:hAnsi="Titillium" w:cs="Times New Roman"/>
          <w:sz w:val="24"/>
          <w:szCs w:val="24"/>
        </w:rPr>
        <w:tab/>
      </w:r>
      <w:r w:rsidR="00D47931" w:rsidRPr="00D9612A">
        <w:rPr>
          <w:rFonts w:ascii="Titillium" w:hAnsi="Titillium" w:cs="Times New Roman"/>
          <w:sz w:val="24"/>
          <w:szCs w:val="24"/>
        </w:rPr>
        <w:tab/>
      </w:r>
      <w:r w:rsidR="00D47931" w:rsidRPr="00D9612A">
        <w:rPr>
          <w:rFonts w:ascii="Titillium" w:hAnsi="Titillium" w:cs="Times New Roman"/>
          <w:sz w:val="24"/>
          <w:szCs w:val="24"/>
        </w:rPr>
        <w:tab/>
        <w:t>Il Legale Rappresentante</w:t>
      </w:r>
    </w:p>
    <w:sectPr w:rsidR="00FB25A5" w:rsidRPr="00D9612A" w:rsidSect="005344F0">
      <w:headerReference w:type="default" r:id="rId11"/>
      <w:footerReference w:type="default" r:id="rId12"/>
      <w:pgSz w:w="11906" w:h="16838"/>
      <w:pgMar w:top="1417" w:right="1134" w:bottom="1134" w:left="1134" w:header="567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096D9" w14:textId="77777777" w:rsidR="00E5262C" w:rsidRDefault="00E5262C" w:rsidP="00F20815">
      <w:pPr>
        <w:spacing w:after="0" w:line="240" w:lineRule="auto"/>
      </w:pPr>
      <w:r>
        <w:separator/>
      </w:r>
    </w:p>
  </w:endnote>
  <w:endnote w:type="continuationSeparator" w:id="0">
    <w:p w14:paraId="2D89EFFC" w14:textId="77777777" w:rsidR="00E5262C" w:rsidRDefault="00E5262C" w:rsidP="00F20815">
      <w:pPr>
        <w:spacing w:after="0" w:line="240" w:lineRule="auto"/>
      </w:pPr>
      <w:r>
        <w:continuationSeparator/>
      </w:r>
    </w:p>
  </w:endnote>
  <w:endnote w:type="continuationNotice" w:id="1">
    <w:p w14:paraId="63258A55" w14:textId="77777777" w:rsidR="00E5262C" w:rsidRDefault="00E526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364796698"/>
      <w:docPartObj>
        <w:docPartGallery w:val="Page Numbers (Bottom of Page)"/>
        <w:docPartUnique/>
      </w:docPartObj>
    </w:sdtPr>
    <w:sdtContent>
      <w:p w14:paraId="5E5CEF11" w14:textId="41A66CEA" w:rsidR="00945F65" w:rsidRPr="00A566C7" w:rsidRDefault="00945F65">
        <w:pPr>
          <w:pStyle w:val="Pidipagina"/>
          <w:jc w:val="right"/>
          <w:rPr>
            <w:rFonts w:ascii="Times New Roman" w:hAnsi="Times New Roman" w:cs="Times New Roman"/>
          </w:rPr>
        </w:pPr>
        <w:r w:rsidRPr="00A566C7">
          <w:rPr>
            <w:rFonts w:ascii="Times New Roman" w:hAnsi="Times New Roman" w:cs="Times New Roman"/>
          </w:rPr>
          <w:fldChar w:fldCharType="begin"/>
        </w:r>
        <w:r w:rsidRPr="00A566C7">
          <w:rPr>
            <w:rFonts w:ascii="Times New Roman" w:hAnsi="Times New Roman" w:cs="Times New Roman"/>
          </w:rPr>
          <w:instrText>PAGE   \* MERGEFORMAT</w:instrText>
        </w:r>
        <w:r w:rsidRPr="00A566C7">
          <w:rPr>
            <w:rFonts w:ascii="Times New Roman" w:hAnsi="Times New Roman" w:cs="Times New Roman"/>
          </w:rPr>
          <w:fldChar w:fldCharType="separate"/>
        </w:r>
        <w:r w:rsidRPr="00A566C7">
          <w:rPr>
            <w:rFonts w:ascii="Times New Roman" w:hAnsi="Times New Roman" w:cs="Times New Roman"/>
          </w:rPr>
          <w:t>2</w:t>
        </w:r>
        <w:r w:rsidRPr="00A566C7">
          <w:rPr>
            <w:rFonts w:ascii="Times New Roman" w:hAnsi="Times New Roman" w:cs="Times New Roman"/>
          </w:rPr>
          <w:fldChar w:fldCharType="end"/>
        </w:r>
      </w:p>
    </w:sdtContent>
  </w:sdt>
  <w:p w14:paraId="202DD3D7" w14:textId="77777777" w:rsidR="00945F65" w:rsidRDefault="00945F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407E2" w14:textId="77777777" w:rsidR="00E5262C" w:rsidRDefault="00E5262C" w:rsidP="00F20815">
      <w:pPr>
        <w:spacing w:after="0" w:line="240" w:lineRule="auto"/>
      </w:pPr>
      <w:r>
        <w:separator/>
      </w:r>
    </w:p>
  </w:footnote>
  <w:footnote w:type="continuationSeparator" w:id="0">
    <w:p w14:paraId="546C8AD9" w14:textId="77777777" w:rsidR="00E5262C" w:rsidRDefault="00E5262C" w:rsidP="00F20815">
      <w:pPr>
        <w:spacing w:after="0" w:line="240" w:lineRule="auto"/>
      </w:pPr>
      <w:r>
        <w:continuationSeparator/>
      </w:r>
    </w:p>
  </w:footnote>
  <w:footnote w:type="continuationNotice" w:id="1">
    <w:p w14:paraId="173D1D55" w14:textId="77777777" w:rsidR="00E5262C" w:rsidRDefault="00E5262C">
      <w:pPr>
        <w:spacing w:after="0" w:line="240" w:lineRule="auto"/>
      </w:pPr>
    </w:p>
  </w:footnote>
  <w:footnote w:id="2">
    <w:p w14:paraId="6D85A477" w14:textId="77777777" w:rsidR="00FB25A5" w:rsidRPr="00AB1C68" w:rsidRDefault="00FB25A5" w:rsidP="00F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B1C68">
        <w:rPr>
          <w:rFonts w:ascii="Times New Roman" w:hAnsi="Times New Roman" w:cs="Times New Roman"/>
          <w:vertAlign w:val="superscript"/>
        </w:rPr>
        <w:footnoteRef/>
      </w:r>
      <w:r w:rsidRPr="00AB1C68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</w:t>
      </w:r>
      <w:r w:rsidRPr="00AB1C68">
        <w:rPr>
          <w:rFonts w:ascii="Times New Roman" w:hAnsi="Times New Roman" w:cs="Times New Roman"/>
          <w:i/>
          <w:color w:val="000000"/>
        </w:rPr>
        <w:t>Es.: utilizzo di appositi capitoli all’interno del piano esecutivo di gestione o del bilancio finanziario gestionale al fine di garantire l’individuazione delle entrate e delle uscite relative alle risorse del PNRR dedicate a specifici progetti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E1039" w14:textId="4C8402A2" w:rsidR="00400B9D" w:rsidRPr="004840B3" w:rsidRDefault="008F025A" w:rsidP="00BE28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5DD89" wp14:editId="57036925">
          <wp:simplePos x="0" y="0"/>
          <wp:positionH relativeFrom="page">
            <wp:posOffset>-15240</wp:posOffset>
          </wp:positionH>
          <wp:positionV relativeFrom="paragraph">
            <wp:posOffset>-571500</wp:posOffset>
          </wp:positionV>
          <wp:extent cx="7750800" cy="1332000"/>
          <wp:effectExtent l="0" t="0" r="3175" b="1905"/>
          <wp:wrapNone/>
          <wp:docPr id="1267524001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61A90A" w14:textId="77777777" w:rsidR="00A566C7" w:rsidRPr="00400B9D" w:rsidRDefault="00A566C7" w:rsidP="00400B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C638C"/>
    <w:multiLevelType w:val="hybridMultilevel"/>
    <w:tmpl w:val="12221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12D21"/>
    <w:multiLevelType w:val="hybridMultilevel"/>
    <w:tmpl w:val="E828EB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5E6805"/>
    <w:multiLevelType w:val="hybridMultilevel"/>
    <w:tmpl w:val="91B42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F93A21"/>
    <w:multiLevelType w:val="hybridMultilevel"/>
    <w:tmpl w:val="9572B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516006">
    <w:abstractNumId w:val="0"/>
  </w:num>
  <w:num w:numId="2" w16cid:durableId="1746683868">
    <w:abstractNumId w:val="1"/>
  </w:num>
  <w:num w:numId="3" w16cid:durableId="98991885">
    <w:abstractNumId w:val="2"/>
  </w:num>
  <w:num w:numId="4" w16cid:durableId="102530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15"/>
    <w:rsid w:val="001D4CB8"/>
    <w:rsid w:val="00240D5A"/>
    <w:rsid w:val="00264C96"/>
    <w:rsid w:val="00292E03"/>
    <w:rsid w:val="00306B2C"/>
    <w:rsid w:val="00400B9D"/>
    <w:rsid w:val="0041332F"/>
    <w:rsid w:val="00426651"/>
    <w:rsid w:val="004272D1"/>
    <w:rsid w:val="00480BAD"/>
    <w:rsid w:val="00484B66"/>
    <w:rsid w:val="005344F0"/>
    <w:rsid w:val="005771B9"/>
    <w:rsid w:val="005E0429"/>
    <w:rsid w:val="00723886"/>
    <w:rsid w:val="00732514"/>
    <w:rsid w:val="007719A7"/>
    <w:rsid w:val="008E5793"/>
    <w:rsid w:val="008F025A"/>
    <w:rsid w:val="008F0688"/>
    <w:rsid w:val="00900EB5"/>
    <w:rsid w:val="00945F65"/>
    <w:rsid w:val="009808A5"/>
    <w:rsid w:val="00995D1B"/>
    <w:rsid w:val="00A566C7"/>
    <w:rsid w:val="00AB1C68"/>
    <w:rsid w:val="00AB7860"/>
    <w:rsid w:val="00B06B97"/>
    <w:rsid w:val="00B96A54"/>
    <w:rsid w:val="00BC558A"/>
    <w:rsid w:val="00BE2819"/>
    <w:rsid w:val="00C001D4"/>
    <w:rsid w:val="00C004C5"/>
    <w:rsid w:val="00C22CE6"/>
    <w:rsid w:val="00C32743"/>
    <w:rsid w:val="00C3560A"/>
    <w:rsid w:val="00C855C3"/>
    <w:rsid w:val="00C96E67"/>
    <w:rsid w:val="00CB6575"/>
    <w:rsid w:val="00CC7137"/>
    <w:rsid w:val="00CD0C67"/>
    <w:rsid w:val="00D4155A"/>
    <w:rsid w:val="00D47931"/>
    <w:rsid w:val="00D9612A"/>
    <w:rsid w:val="00DF3535"/>
    <w:rsid w:val="00E15F1E"/>
    <w:rsid w:val="00E27AF3"/>
    <w:rsid w:val="00E5262C"/>
    <w:rsid w:val="00E7259A"/>
    <w:rsid w:val="00E80EE0"/>
    <w:rsid w:val="00E821E2"/>
    <w:rsid w:val="00EB3BC0"/>
    <w:rsid w:val="00F04CD7"/>
    <w:rsid w:val="00F20815"/>
    <w:rsid w:val="00F3188C"/>
    <w:rsid w:val="00F45ECC"/>
    <w:rsid w:val="00FB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48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0815"/>
    <w:pPr>
      <w:spacing w:after="200" w:line="276" w:lineRule="auto"/>
    </w:pPr>
    <w:rPr>
      <w:rFonts w:ascii="Calibri" w:eastAsia="Calibri" w:hAnsi="Calibri" w:cs="Calibri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081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208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20815"/>
    <w:pPr>
      <w:tabs>
        <w:tab w:val="center" w:pos="4819"/>
        <w:tab w:val="right" w:pos="9638"/>
      </w:tabs>
      <w:spacing w:after="0" w:line="240" w:lineRule="auto"/>
    </w:pPr>
    <w:rPr>
      <w:rFonts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0815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EB3BC0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945F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F65"/>
    <w:rPr>
      <w:rFonts w:ascii="Calibri" w:eastAsia="Calibri" w:hAnsi="Calibri" w:cs="Calibri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2E0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92E03"/>
    <w:rPr>
      <w:rFonts w:ascii="Calibri" w:eastAsia="Calibri" w:hAnsi="Calibri" w:cs="Calibri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92E03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4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normal">
    <w:name w:val="v1msonormal"/>
    <w:basedOn w:val="Normale"/>
    <w:rsid w:val="00D4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ferimentointenso">
    <w:name w:val="Intense Reference"/>
    <w:basedOn w:val="Carpredefinitoparagrafo"/>
    <w:uiPriority w:val="32"/>
    <w:qFormat/>
    <w:rsid w:val="00D47931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D2E119-6B45-4B48-8751-484C4E4D3D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597F9-BE4D-42FF-8D96-7DB9F9DF8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1170C8-986F-4DC4-8103-A30C70FD35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D9851-9B48-452B-9F87-756A2316F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1093</Words>
  <Characters>6232</Characters>
  <Application>Microsoft Office Word</Application>
  <DocSecurity>0</DocSecurity>
  <Lines>51</Lines>
  <Paragraphs>14</Paragraphs>
  <ScaleCrop>false</ScaleCrop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2024-03-29T11:18:00Z</dcterms:created>
  <dcterms:modified xsi:type="dcterms:W3CDTF">2024-10-08T06:56:00Z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2024-10-07T20:08:27Z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02ef9abb-0f6f-4728-848f-946419adb6f8</vt:lpwstr>
  </property>
  <property fmtid="{D5CDD505-2E9C-101B-9397-08002B2CF9AE}" pid="9" name="MSIP_Label_2ad0b24d-6422-44b0-b3de-abb3a9e8c81a_ContentBits">
    <vt:lpwstr>0</vt:lpwstr>
  </property>
</Properties>
</file>