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47359" w14:textId="5AB1711B" w:rsidR="008639CA" w:rsidRPr="00A869AE" w:rsidRDefault="00A869AE" w:rsidP="005657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9AE">
        <w:rPr>
          <w:rFonts w:ascii="Times New Roman" w:hAnsi="Times New Roman" w:cs="Times New Roman"/>
          <w:b/>
          <w:sz w:val="24"/>
          <w:szCs w:val="24"/>
        </w:rPr>
        <w:t>Allegato 7</w:t>
      </w:r>
    </w:p>
    <w:p w14:paraId="01BA0D6B" w14:textId="77777777" w:rsidR="00A869AE" w:rsidRPr="00A869AE" w:rsidRDefault="00A869AE" w:rsidP="00A869AE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9AE">
        <w:rPr>
          <w:rFonts w:ascii="Times New Roman" w:hAnsi="Times New Roman" w:cs="Times New Roman"/>
          <w:b/>
          <w:sz w:val="24"/>
          <w:szCs w:val="24"/>
        </w:rPr>
        <w:t>PIANO NAZIONALE DI RIPRESA E RESILIENZA (PNRR) – MISSIONE 4 “Istruzione e ricerca”, COMPONENTE 2 “Dalla ricerca all’impresa”, INVESTIMENTO 1.3 “Partenariati Estesi alle università, ai centri di ricerca, alle aziende per il finanziamento di progetti di ricerca di base”</w:t>
      </w:r>
    </w:p>
    <w:p w14:paraId="23CBF5BD" w14:textId="77777777" w:rsidR="00A869AE" w:rsidRPr="00A869AE" w:rsidRDefault="00A869AE" w:rsidP="00AC7DEC">
      <w:pPr>
        <w:tabs>
          <w:tab w:val="left" w:pos="2843"/>
          <w:tab w:val="left" w:pos="8869"/>
          <w:tab w:val="left" w:pos="9344"/>
        </w:tabs>
        <w:ind w:right="513"/>
        <w:rPr>
          <w:rFonts w:ascii="Times New Roman" w:hAnsi="Times New Roman" w:cs="Times New Roman"/>
          <w:b/>
          <w:sz w:val="24"/>
          <w:szCs w:val="24"/>
        </w:rPr>
      </w:pPr>
    </w:p>
    <w:p w14:paraId="629F1D76" w14:textId="7E4766A9" w:rsidR="00A869AE" w:rsidRPr="00A869AE" w:rsidRDefault="00A869AE" w:rsidP="00AC7DEC">
      <w:pPr>
        <w:tabs>
          <w:tab w:val="left" w:pos="3063"/>
          <w:tab w:val="left" w:pos="6090"/>
          <w:tab w:val="left" w:pos="8137"/>
        </w:tabs>
        <w:ind w:left="232" w:right="2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9AE">
        <w:rPr>
          <w:rFonts w:ascii="Times New Roman" w:hAnsi="Times New Roman" w:cs="Times New Roman"/>
          <w:b/>
          <w:sz w:val="24"/>
          <w:szCs w:val="24"/>
        </w:rPr>
        <w:t>Modello di ATTO D’OBBLIGO</w:t>
      </w:r>
    </w:p>
    <w:p w14:paraId="0D3A34DA" w14:textId="77777777" w:rsidR="00A869AE" w:rsidRPr="00A869AE" w:rsidRDefault="00A869AE" w:rsidP="00A869AE">
      <w:pPr>
        <w:spacing w:before="1"/>
        <w:ind w:left="256"/>
        <w:rPr>
          <w:rFonts w:ascii="Times New Roman" w:hAnsi="Times New Roman" w:cs="Times New Roman"/>
          <w:b/>
        </w:rPr>
      </w:pPr>
      <w:r w:rsidRPr="00A869AE">
        <w:rPr>
          <w:rFonts w:ascii="Times New Roman" w:hAnsi="Times New Roman" w:cs="Times New Roman"/>
          <w:b/>
        </w:rPr>
        <w:t>VISTO</w:t>
      </w:r>
    </w:p>
    <w:p w14:paraId="0D0A41C6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22" w:after="0" w:line="271" w:lineRule="auto"/>
        <w:ind w:right="106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Regolamento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(UE)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12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febbraio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2021,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n.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2021/241,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che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istituisce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dispositivo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per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la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ripresa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la resilienza;</w:t>
      </w:r>
    </w:p>
    <w:p w14:paraId="5D8A13B5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 Piano Nazionale di Ripresa e Resilienza (PNRR) approvato con Decisione del Consiglio ECOFIN del 13 luglio 2021 e notificata all’Italia dal Segretariato generale del Consiglio con</w:t>
      </w:r>
      <w:r w:rsidRPr="00A869AE">
        <w:rPr>
          <w:rFonts w:ascii="Times New Roman" w:hAnsi="Times New Roman" w:cs="Times New Roman"/>
          <w:spacing w:val="-3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nota LT161/21, del 14 luglio</w:t>
      </w:r>
      <w:r w:rsidRPr="00A869AE">
        <w:rPr>
          <w:rFonts w:ascii="Times New Roman" w:hAnsi="Times New Roman" w:cs="Times New Roman"/>
          <w:spacing w:val="-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2021;</w:t>
      </w:r>
    </w:p>
    <w:p w14:paraId="1522EB3C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  <w:tab w:val="left" w:pos="8298"/>
        </w:tabs>
        <w:autoSpaceDE w:val="0"/>
        <w:autoSpaceDN w:val="0"/>
        <w:spacing w:after="0" w:line="271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 xml:space="preserve">la Misura </w:t>
      </w:r>
      <w:r w:rsidRPr="00A869AE">
        <w:rPr>
          <w:rFonts w:ascii="Times New Roman" w:hAnsi="Times New Roman" w:cs="Times New Roman"/>
          <w:sz w:val="24"/>
          <w:u w:val="single"/>
        </w:rPr>
        <w:t xml:space="preserve">        </w:t>
      </w:r>
      <w:r w:rsidRPr="00A869AE">
        <w:rPr>
          <w:rFonts w:ascii="Times New Roman" w:hAnsi="Times New Roman" w:cs="Times New Roman"/>
          <w:spacing w:val="4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Componente_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Investimento/</w:t>
      </w:r>
      <w:proofErr w:type="spellStart"/>
      <w:r w:rsidRPr="00A869AE">
        <w:rPr>
          <w:rFonts w:ascii="Times New Roman" w:hAnsi="Times New Roman" w:cs="Times New Roman"/>
          <w:sz w:val="24"/>
        </w:rPr>
        <w:t>subinvestimento</w:t>
      </w:r>
      <w:proofErr w:type="spellEnd"/>
      <w:r w:rsidRPr="00A869AE">
        <w:rPr>
          <w:rFonts w:ascii="Times New Roman" w:hAnsi="Times New Roman" w:cs="Times New Roman"/>
          <w:sz w:val="24"/>
        </w:rPr>
        <w:t>/riforma</w:t>
      </w:r>
      <w:r w:rsidRPr="00A869AE">
        <w:rPr>
          <w:rFonts w:ascii="Times New Roman" w:hAnsi="Times New Roman" w:cs="Times New Roman"/>
          <w:sz w:val="24"/>
          <w:u w:val="single"/>
        </w:rPr>
        <w:t xml:space="preserve"> </w:t>
      </w:r>
      <w:r w:rsidRPr="00A869AE">
        <w:rPr>
          <w:rFonts w:ascii="Times New Roman" w:hAnsi="Times New Roman" w:cs="Times New Roman"/>
          <w:sz w:val="24"/>
          <w:u w:val="single"/>
        </w:rPr>
        <w:tab/>
      </w:r>
      <w:r w:rsidRPr="00A869AE">
        <w:rPr>
          <w:rFonts w:ascii="Times New Roman" w:hAnsi="Times New Roman" w:cs="Times New Roman"/>
          <w:sz w:val="24"/>
        </w:rPr>
        <w:t xml:space="preserve">del PNRR 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che </w:t>
      </w:r>
      <w:r w:rsidRPr="00A869AE">
        <w:rPr>
          <w:rFonts w:ascii="Times New Roman" w:hAnsi="Times New Roman" w:cs="Times New Roman"/>
          <w:sz w:val="24"/>
        </w:rPr>
        <w:t>prevede</w:t>
      </w:r>
      <w:r w:rsidRPr="00A869AE">
        <w:rPr>
          <w:rFonts w:ascii="Times New Roman" w:hAnsi="Times New Roman" w:cs="Times New Roman"/>
          <w:spacing w:val="-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...;</w:t>
      </w:r>
    </w:p>
    <w:p w14:paraId="77A72686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1" w:lineRule="auto"/>
        <w:ind w:right="106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 xml:space="preserve">il Regolamento (UE) 2018/1046 del 18 luglio 2018, che stabilisce le regole finanziarie applicabili al bilancio generale dell’Unione, che modifica i Regolamenti (UE) n. 1296/2013, n. 1301/2013, n. 1303/2013, n. 1304/2013, n. 1309/2013, n. 1316/2013, n. 223/2014, n. 283/2014 e la decisione n. 541/2014/UE e abroga il regolamento (UE, </w:t>
      </w:r>
      <w:proofErr w:type="spellStart"/>
      <w:r w:rsidRPr="00A869AE">
        <w:rPr>
          <w:rFonts w:ascii="Times New Roman" w:hAnsi="Times New Roman" w:cs="Times New Roman"/>
          <w:sz w:val="24"/>
        </w:rPr>
        <w:t>Euratom</w:t>
      </w:r>
      <w:proofErr w:type="spellEnd"/>
      <w:r w:rsidRPr="00A869AE">
        <w:rPr>
          <w:rFonts w:ascii="Times New Roman" w:hAnsi="Times New Roman" w:cs="Times New Roman"/>
          <w:sz w:val="24"/>
        </w:rPr>
        <w:t>) n.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966/2012;</w:t>
      </w:r>
    </w:p>
    <w:p w14:paraId="627DD8B1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7" w:after="0" w:line="271" w:lineRule="auto"/>
        <w:ind w:right="105"/>
        <w:jc w:val="both"/>
        <w:rPr>
          <w:rFonts w:ascii="Times New Roman" w:hAnsi="Times New Roman" w:cs="Times New Roman"/>
          <w:i/>
          <w:sz w:val="24"/>
        </w:rPr>
      </w:pP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Decreto-Legge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6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maggio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2021,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n.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59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convertito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modificazioni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dalla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L.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proofErr w:type="gramStart"/>
      <w:r w:rsidRPr="00A869AE">
        <w:rPr>
          <w:rFonts w:ascii="Times New Roman" w:hAnsi="Times New Roman" w:cs="Times New Roman"/>
          <w:sz w:val="24"/>
        </w:rPr>
        <w:t>1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luglio</w:t>
      </w:r>
      <w:proofErr w:type="gramEnd"/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2021,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n.</w:t>
      </w:r>
      <w:r w:rsidRPr="00A869AE">
        <w:rPr>
          <w:rFonts w:ascii="Times New Roman" w:hAnsi="Times New Roman" w:cs="Times New Roman"/>
          <w:spacing w:val="-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101, recante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“Misure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urgenti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relative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al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Fondo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complementare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al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Piano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nazionale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ripresa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1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resilienza e altre misure urgenti per gli investimenti”; [</w:t>
      </w:r>
      <w:r w:rsidRPr="00A869AE">
        <w:rPr>
          <w:rFonts w:ascii="Times New Roman" w:hAnsi="Times New Roman" w:cs="Times New Roman"/>
          <w:i/>
          <w:sz w:val="24"/>
        </w:rPr>
        <w:t>da utilizzare nel caso in cui il finanziamento sia inserito non esclusivamente nel PNRR ma il finanziamento sia completato con le risorse di cui al decreto legge</w:t>
      </w:r>
      <w:r w:rsidRPr="00A869AE">
        <w:rPr>
          <w:rFonts w:ascii="Times New Roman" w:hAnsi="Times New Roman" w:cs="Times New Roman"/>
          <w:i/>
          <w:spacing w:val="-18"/>
          <w:sz w:val="24"/>
        </w:rPr>
        <w:t xml:space="preserve"> </w:t>
      </w:r>
      <w:r w:rsidRPr="00A869AE">
        <w:rPr>
          <w:rFonts w:ascii="Times New Roman" w:hAnsi="Times New Roman" w:cs="Times New Roman"/>
          <w:i/>
          <w:sz w:val="24"/>
        </w:rPr>
        <w:t>59/2021]</w:t>
      </w:r>
    </w:p>
    <w:p w14:paraId="10EEDB71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7" w:after="0" w:line="240" w:lineRule="auto"/>
        <w:ind w:hanging="361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-1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decreto-legge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31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maggio</w:t>
      </w:r>
      <w:r w:rsidRPr="00A869AE">
        <w:rPr>
          <w:rFonts w:ascii="Times New Roman" w:hAnsi="Times New Roman" w:cs="Times New Roman"/>
          <w:spacing w:val="-1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2021,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n.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77,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convertito</w:t>
      </w:r>
      <w:r w:rsidRPr="00A869AE">
        <w:rPr>
          <w:rFonts w:ascii="Times New Roman" w:hAnsi="Times New Roman" w:cs="Times New Roman"/>
          <w:spacing w:val="-1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modificazioni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dalla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legge</w:t>
      </w:r>
      <w:r w:rsidRPr="00A869AE">
        <w:rPr>
          <w:rFonts w:ascii="Times New Roman" w:hAnsi="Times New Roman" w:cs="Times New Roman"/>
          <w:spacing w:val="-1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29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luglio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2021,</w:t>
      </w:r>
    </w:p>
    <w:p w14:paraId="3665290F" w14:textId="77777777" w:rsidR="00A869AE" w:rsidRPr="00A869AE" w:rsidRDefault="00A869AE" w:rsidP="00A869AE">
      <w:pPr>
        <w:widowControl w:val="0"/>
        <w:autoSpaceDE w:val="0"/>
        <w:autoSpaceDN w:val="0"/>
        <w:spacing w:before="42" w:after="0" w:line="271" w:lineRule="auto"/>
        <w:ind w:left="8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>n. 108, recante: «Governance del Piano nazionale di ripresa e resilienza e prime misure di rafforzamento delle strutture amministrative e di accelerazione e snellimento delle procedure»;</w:t>
      </w:r>
    </w:p>
    <w:p w14:paraId="2A7D5D3A" w14:textId="11BFEAA7" w:rsidR="00A869AE" w:rsidRPr="004D405D" w:rsidRDefault="00A869AE" w:rsidP="004D405D">
      <w:pPr>
        <w:widowControl w:val="0"/>
        <w:numPr>
          <w:ilvl w:val="1"/>
          <w:numId w:val="26"/>
        </w:numPr>
        <w:tabs>
          <w:tab w:val="left" w:pos="835"/>
          <w:tab w:val="left" w:pos="3799"/>
        </w:tabs>
        <w:autoSpaceDE w:val="0"/>
        <w:autoSpaceDN w:val="0"/>
        <w:spacing w:before="3" w:after="0" w:line="240" w:lineRule="auto"/>
        <w:ind w:hanging="361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 Decreto</w:t>
      </w:r>
      <w:r w:rsidRPr="00A869AE">
        <w:rPr>
          <w:rFonts w:ascii="Times New Roman" w:hAnsi="Times New Roman" w:cs="Times New Roman"/>
          <w:spacing w:val="3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Ministro</w:t>
      </w:r>
      <w:r w:rsidRPr="00A869AE">
        <w:rPr>
          <w:rFonts w:ascii="Times New Roman" w:hAnsi="Times New Roman" w:cs="Times New Roman"/>
          <w:sz w:val="24"/>
          <w:u w:val="single"/>
        </w:rPr>
        <w:t xml:space="preserve"> </w:t>
      </w:r>
      <w:r w:rsidRPr="00A869AE">
        <w:rPr>
          <w:rFonts w:ascii="Times New Roman" w:hAnsi="Times New Roman" w:cs="Times New Roman"/>
          <w:sz w:val="24"/>
          <w:u w:val="single"/>
        </w:rPr>
        <w:tab/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1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concerto</w:t>
      </w:r>
      <w:r w:rsidRPr="00A869AE">
        <w:rPr>
          <w:rFonts w:ascii="Times New Roman" w:hAnsi="Times New Roman" w:cs="Times New Roman"/>
          <w:spacing w:val="1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1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Ministro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dell’Economia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delle</w:t>
      </w:r>
      <w:r w:rsidRPr="00A869AE">
        <w:rPr>
          <w:rFonts w:ascii="Times New Roman" w:hAnsi="Times New Roman" w:cs="Times New Roman"/>
          <w:spacing w:val="1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Finanze,</w:t>
      </w:r>
      <w:r w:rsidRPr="00A869AE">
        <w:rPr>
          <w:rFonts w:ascii="Times New Roman" w:hAnsi="Times New Roman" w:cs="Times New Roman"/>
          <w:spacing w:val="1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="004D405D">
        <w:rPr>
          <w:rFonts w:ascii="Times New Roman" w:hAnsi="Times New Roman" w:cs="Times New Roman"/>
          <w:sz w:val="24"/>
        </w:rPr>
        <w:t xml:space="preserve"> </w:t>
      </w:r>
      <w:r w:rsidRPr="004D405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D405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</w:t>
      </w:r>
      <w:r w:rsidRPr="004D405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D405D">
        <w:rPr>
          <w:rFonts w:ascii="Times New Roman" w:eastAsia="Times New Roman" w:hAnsi="Times New Roman" w:cs="Times New Roman"/>
          <w:sz w:val="24"/>
          <w:szCs w:val="24"/>
        </w:rPr>
        <w:t>concernente l’istituzione della struttura di missione PNRR, ai sensi dell’articolo 8 del citato Decreto-legge del 31 maggio 2021, n.</w:t>
      </w:r>
      <w:r w:rsidRPr="004D405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D405D">
        <w:rPr>
          <w:rFonts w:ascii="Times New Roman" w:eastAsia="Times New Roman" w:hAnsi="Times New Roman" w:cs="Times New Roman"/>
          <w:sz w:val="24"/>
          <w:szCs w:val="24"/>
        </w:rPr>
        <w:t>77;</w:t>
      </w:r>
    </w:p>
    <w:p w14:paraId="266E4453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 decreto-legge 9 giugno 2021, n. 80, convertito con modificazioni, dalla legge 6 agosto 2021, n. 113, recante: «Misure urgenti per il rafforzamento della capacità amministrativa delle pubbliche amministrazioni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funzionale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all'attuazione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Piano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nazionale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ripresa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resilienza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(PNRR)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per l'efficienza della</w:t>
      </w:r>
      <w:r w:rsidRPr="00A869AE">
        <w:rPr>
          <w:rFonts w:ascii="Times New Roman" w:hAnsi="Times New Roman" w:cs="Times New Roman"/>
          <w:spacing w:val="-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giustizia»;</w:t>
      </w:r>
    </w:p>
    <w:p w14:paraId="6F3FFE37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79" w:after="0" w:line="276" w:lineRule="auto"/>
        <w:ind w:right="105"/>
        <w:jc w:val="both"/>
        <w:rPr>
          <w:rFonts w:ascii="Times New Roman" w:hAnsi="Times New Roman" w:cs="Times New Roman"/>
        </w:rPr>
      </w:pPr>
      <w:r w:rsidRPr="00A869AE">
        <w:rPr>
          <w:rFonts w:ascii="Times New Roman" w:hAnsi="Times New Roman" w:cs="Times New Roman"/>
          <w:sz w:val="24"/>
        </w:rPr>
        <w:t xml:space="preserve">la legge 16 gennaio 2003, n. 3, recante “Disposizioni ordinamentali in materia di pubblica </w:t>
      </w:r>
      <w:r w:rsidRPr="00A869AE">
        <w:rPr>
          <w:rFonts w:ascii="Times New Roman" w:hAnsi="Times New Roman" w:cs="Times New Roman"/>
          <w:sz w:val="24"/>
        </w:rPr>
        <w:lastRenderedPageBreak/>
        <w:t>amministrazione” e, in particolare, l’articolo 11, comma 2-bis, ai sensi del quale “Gli atti amministrativi anche di natura regolamentare adottati dalle Amministrazioni di cui all’articolo 1, comma</w:t>
      </w:r>
      <w:r w:rsidRPr="00A869AE">
        <w:rPr>
          <w:rFonts w:ascii="Times New Roman" w:hAnsi="Times New Roman" w:cs="Times New Roman"/>
          <w:spacing w:val="4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2,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4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decreto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legislativo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30</w:t>
      </w:r>
      <w:r w:rsidRPr="00A869AE">
        <w:rPr>
          <w:rFonts w:ascii="Times New Roman" w:hAnsi="Times New Roman" w:cs="Times New Roman"/>
          <w:spacing w:val="4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marzo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2001,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n.</w:t>
      </w:r>
      <w:r w:rsidRPr="00A869AE">
        <w:rPr>
          <w:rFonts w:ascii="Times New Roman" w:hAnsi="Times New Roman" w:cs="Times New Roman"/>
          <w:spacing w:val="4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165,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che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dispongono</w:t>
      </w:r>
      <w:r w:rsidRPr="00A869AE">
        <w:rPr>
          <w:rFonts w:ascii="Times New Roman" w:hAnsi="Times New Roman" w:cs="Times New Roman"/>
          <w:spacing w:val="4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4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 xml:space="preserve">finanziamento </w:t>
      </w:r>
      <w:r w:rsidRPr="00A869AE">
        <w:rPr>
          <w:rFonts w:ascii="Times New Roman" w:hAnsi="Times New Roman" w:cs="Times New Roman"/>
        </w:rPr>
        <w:t>pubblico o autorizzano l’esecuzione di progetti di investimento pubblico, sono nulli in assenza dei</w:t>
      </w:r>
      <w:r w:rsidRPr="00A869AE">
        <w:rPr>
          <w:rFonts w:ascii="Times New Roman" w:hAnsi="Times New Roman" w:cs="Times New Roman"/>
          <w:spacing w:val="-11"/>
        </w:rPr>
        <w:t xml:space="preserve"> </w:t>
      </w:r>
      <w:r w:rsidRPr="00A869AE">
        <w:rPr>
          <w:rFonts w:ascii="Times New Roman" w:hAnsi="Times New Roman" w:cs="Times New Roman"/>
        </w:rPr>
        <w:t>corrispondenti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codici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di</w:t>
      </w:r>
      <w:r w:rsidRPr="00A869AE">
        <w:rPr>
          <w:rFonts w:ascii="Times New Roman" w:hAnsi="Times New Roman" w:cs="Times New Roman"/>
          <w:spacing w:val="-11"/>
        </w:rPr>
        <w:t xml:space="preserve"> </w:t>
      </w:r>
      <w:r w:rsidRPr="00A869AE">
        <w:rPr>
          <w:rFonts w:ascii="Times New Roman" w:hAnsi="Times New Roman" w:cs="Times New Roman"/>
        </w:rPr>
        <w:t>cui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al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comma</w:t>
      </w:r>
      <w:r w:rsidRPr="00A869AE">
        <w:rPr>
          <w:rFonts w:ascii="Times New Roman" w:hAnsi="Times New Roman" w:cs="Times New Roman"/>
          <w:spacing w:val="-11"/>
        </w:rPr>
        <w:t xml:space="preserve"> </w:t>
      </w:r>
      <w:r w:rsidRPr="00A869AE">
        <w:rPr>
          <w:rFonts w:ascii="Times New Roman" w:hAnsi="Times New Roman" w:cs="Times New Roman"/>
        </w:rPr>
        <w:t>1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che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costituiscono</w:t>
      </w:r>
      <w:r w:rsidRPr="00A869AE">
        <w:rPr>
          <w:rFonts w:ascii="Times New Roman" w:hAnsi="Times New Roman" w:cs="Times New Roman"/>
          <w:spacing w:val="-11"/>
        </w:rPr>
        <w:t xml:space="preserve"> </w:t>
      </w:r>
      <w:r w:rsidRPr="00A869AE">
        <w:rPr>
          <w:rFonts w:ascii="Times New Roman" w:hAnsi="Times New Roman" w:cs="Times New Roman"/>
        </w:rPr>
        <w:t>elemento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essenziale</w:t>
      </w:r>
      <w:r w:rsidRPr="00A869AE">
        <w:rPr>
          <w:rFonts w:ascii="Times New Roman" w:hAnsi="Times New Roman" w:cs="Times New Roman"/>
          <w:spacing w:val="-10"/>
        </w:rPr>
        <w:t xml:space="preserve"> </w:t>
      </w:r>
      <w:r w:rsidRPr="00A869AE">
        <w:rPr>
          <w:rFonts w:ascii="Times New Roman" w:hAnsi="Times New Roman" w:cs="Times New Roman"/>
        </w:rPr>
        <w:t>dell'atto</w:t>
      </w:r>
      <w:r w:rsidRPr="00A869AE">
        <w:rPr>
          <w:rFonts w:ascii="Times New Roman" w:hAnsi="Times New Roman" w:cs="Times New Roman"/>
          <w:spacing w:val="-11"/>
        </w:rPr>
        <w:t xml:space="preserve"> </w:t>
      </w:r>
      <w:r w:rsidRPr="00A869AE">
        <w:rPr>
          <w:rFonts w:ascii="Times New Roman" w:hAnsi="Times New Roman" w:cs="Times New Roman"/>
        </w:rPr>
        <w:t>stesso;</w:t>
      </w:r>
    </w:p>
    <w:p w14:paraId="05086A90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1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 decreto del Ministro dell’economia e delle finanze del 6 agosto 2021 relativo all’assegnazione delle risorse in favore di ciascuna Amministrazione titolare degli interventi PNRR e corrispondenti milestone e</w:t>
      </w:r>
      <w:r w:rsidRPr="00A869AE">
        <w:rPr>
          <w:rFonts w:ascii="Times New Roman" w:hAnsi="Times New Roman" w:cs="Times New Roman"/>
          <w:spacing w:val="-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target;</w:t>
      </w:r>
    </w:p>
    <w:p w14:paraId="2EECBD0D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1" w:after="0" w:line="271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l’articolo 1, comma 1042 della legge 30 dicembre 2020, n. 178 ai sensi del quale con uno o più decreti del Ministro dell’economia e delle finanze sono stabilite le procedure amministrativo- contabili per la gestione delle risorse di cui ai commi da 1037 a 1050, nonché' le modalità di rendicontazione della gestione del Fondo di cui al comma</w:t>
      </w:r>
      <w:r w:rsidRPr="00A869AE">
        <w:rPr>
          <w:rFonts w:ascii="Times New Roman" w:hAnsi="Times New Roman" w:cs="Times New Roman"/>
          <w:spacing w:val="-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1037;</w:t>
      </w:r>
    </w:p>
    <w:p w14:paraId="4B1D720A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7"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l’articolo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1,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comma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1043,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secondo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periodo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della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legge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30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dicembre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2020,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n.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178,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sensi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quale al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fine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supportare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le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attività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gestione,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monitoraggio,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rendicontazione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controllo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delle componenti del Next Generation EU, il Ministero dell'economia e delle finanze - Dipartimento della Ragioneria generale dello Stato sviluppa e rende disponibile un apposito sistema informatico;</w:t>
      </w:r>
    </w:p>
    <w:p w14:paraId="43ACCD10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 xml:space="preserve">l’articolo 17 Regolamento UE 2020/852 che definisce gli obiettivi ambientali, tra cui il principio di non arrecare un danno significativo (DNSH, “Do no </w:t>
      </w:r>
      <w:proofErr w:type="spellStart"/>
      <w:r w:rsidRPr="00A869AE">
        <w:rPr>
          <w:rFonts w:ascii="Times New Roman" w:hAnsi="Times New Roman" w:cs="Times New Roman"/>
          <w:sz w:val="24"/>
        </w:rPr>
        <w:t>significant</w:t>
      </w:r>
      <w:proofErr w:type="spellEnd"/>
      <w:r w:rsidRPr="00A869A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869AE">
        <w:rPr>
          <w:rFonts w:ascii="Times New Roman" w:hAnsi="Times New Roman" w:cs="Times New Roman"/>
          <w:sz w:val="24"/>
        </w:rPr>
        <w:t>harm</w:t>
      </w:r>
      <w:proofErr w:type="spellEnd"/>
      <w:r w:rsidRPr="00A869AE">
        <w:rPr>
          <w:rFonts w:ascii="Times New Roman" w:hAnsi="Times New Roman" w:cs="Times New Roman"/>
          <w:sz w:val="24"/>
        </w:rPr>
        <w:t>”), e la Comunicazione della Commissione UE 2021/C 58/01 recante “Orientamenti tecnici sull’applicazione del principio «non arrecare un danno significativo» a norma del regolamento sul dispositivo per la ripresa e la</w:t>
      </w:r>
      <w:r w:rsidRPr="00A869AE">
        <w:rPr>
          <w:rFonts w:ascii="Times New Roman" w:hAnsi="Times New Roman" w:cs="Times New Roman"/>
          <w:spacing w:val="-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resilienza”;</w:t>
      </w:r>
    </w:p>
    <w:p w14:paraId="5743BA13" w14:textId="77777777" w:rsidR="00A869AE" w:rsidRPr="00A869AE" w:rsidRDefault="00A869AE" w:rsidP="003D0A6C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 principi trasversali previsti dal PNRR, quali, tra l’altro, il principio del contributo all’obiettivo climatico e digitale (c.d. tagging), il principio di parità di genere e l’obbligo di protezione e valorizzazione dei</w:t>
      </w:r>
      <w:r w:rsidRPr="00A869AE">
        <w:rPr>
          <w:rFonts w:ascii="Times New Roman" w:hAnsi="Times New Roman" w:cs="Times New Roman"/>
          <w:spacing w:val="-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giovani;</w:t>
      </w:r>
    </w:p>
    <w:p w14:paraId="1026AEEC" w14:textId="0DDB5BCD" w:rsidR="00A869AE" w:rsidRPr="002B2A0E" w:rsidRDefault="00A869AE" w:rsidP="002B2A0E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after="0" w:line="271" w:lineRule="auto"/>
        <w:ind w:right="106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gli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obblighi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assicurare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conseguimento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target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milestone</w:t>
      </w:r>
      <w:r w:rsidRPr="00A869AE">
        <w:rPr>
          <w:rFonts w:ascii="Times New Roman" w:hAnsi="Times New Roman" w:cs="Times New Roman"/>
          <w:spacing w:val="-5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degli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obiettivi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finanziari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stabiliti nel PNRR</w:t>
      </w:r>
    </w:p>
    <w:p w14:paraId="371142B7" w14:textId="4953B4FB" w:rsidR="00A869AE" w:rsidRPr="00A869AE" w:rsidRDefault="00A869AE" w:rsidP="00A869AE">
      <w:pPr>
        <w:spacing w:before="116"/>
        <w:ind w:left="256"/>
        <w:jc w:val="center"/>
        <w:rPr>
          <w:rFonts w:ascii="Times New Roman" w:hAnsi="Times New Roman" w:cs="Times New Roman"/>
          <w:b/>
        </w:rPr>
      </w:pPr>
      <w:r w:rsidRPr="00A869AE">
        <w:rPr>
          <w:rFonts w:ascii="Times New Roman" w:hAnsi="Times New Roman" w:cs="Times New Roman"/>
          <w:b/>
        </w:rPr>
        <w:t>VISTO ALTRES</w:t>
      </w:r>
      <w:r w:rsidR="007649E2">
        <w:rPr>
          <w:rFonts w:ascii="Times New Roman" w:hAnsi="Times New Roman" w:cs="Times New Roman"/>
          <w:b/>
        </w:rPr>
        <w:t>Ì</w:t>
      </w:r>
    </w:p>
    <w:p w14:paraId="2C393C0D" w14:textId="77777777" w:rsidR="00A869AE" w:rsidRPr="00A869AE" w:rsidRDefault="00A869AE" w:rsidP="003D0A6C">
      <w:pPr>
        <w:widowControl w:val="0"/>
        <w:numPr>
          <w:ilvl w:val="1"/>
          <w:numId w:val="27"/>
        </w:numPr>
        <w:tabs>
          <w:tab w:val="left" w:pos="835"/>
        </w:tabs>
        <w:autoSpaceDE w:val="0"/>
        <w:autoSpaceDN w:val="0"/>
        <w:spacing w:before="36"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la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ricezione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delle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proposte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progettuali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complete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della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strategia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degli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obiettivi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6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intervento,</w:t>
      </w:r>
      <w:r w:rsidRPr="00A869AE">
        <w:rPr>
          <w:rFonts w:ascii="Times New Roman" w:hAnsi="Times New Roman" w:cs="Times New Roman"/>
          <w:spacing w:val="-7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delle informazioni identificative al momento disponibili (CUP), delle informazioni anagrafiche inerenti il Soggetto Beneficiario, del CUP, dei budget previsionali e relative tipologie di costi previsti, dei risultati attesi quantificati in base agli stessi indicatori adottati per milestone e target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della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misura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e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relativi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tempi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realizzazione,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nonché</w:t>
      </w:r>
      <w:r w:rsidRPr="00A869AE">
        <w:rPr>
          <w:rFonts w:ascii="Times New Roman" w:hAnsi="Times New Roman" w:cs="Times New Roman"/>
          <w:spacing w:val="-9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cronoprogramma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10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attuazione e spesa dei singoli</w:t>
      </w:r>
      <w:r w:rsidRPr="00A869AE">
        <w:rPr>
          <w:rFonts w:ascii="Times New Roman" w:hAnsi="Times New Roman" w:cs="Times New Roman"/>
          <w:spacing w:val="-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progetti;</w:t>
      </w:r>
    </w:p>
    <w:p w14:paraId="2AC182D6" w14:textId="77777777" w:rsidR="00A869AE" w:rsidRPr="00A869AE" w:rsidRDefault="00A869AE" w:rsidP="003D0A6C">
      <w:pPr>
        <w:widowControl w:val="0"/>
        <w:numPr>
          <w:ilvl w:val="1"/>
          <w:numId w:val="27"/>
        </w:numPr>
        <w:tabs>
          <w:tab w:val="left" w:pos="835"/>
        </w:tabs>
        <w:autoSpaceDE w:val="0"/>
        <w:autoSpaceDN w:val="0"/>
        <w:spacing w:after="0" w:line="26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il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documento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descrittivo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progetto,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firmato</w:t>
      </w:r>
      <w:r w:rsidRPr="00A869AE">
        <w:rPr>
          <w:rFonts w:ascii="Times New Roman" w:hAnsi="Times New Roman" w:cs="Times New Roman"/>
          <w:spacing w:val="-3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dal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Legale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Rappresentante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del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Proponente,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che</w:t>
      </w:r>
      <w:r w:rsidRPr="00A869AE">
        <w:rPr>
          <w:rFonts w:ascii="Times New Roman" w:hAnsi="Times New Roman" w:cs="Times New Roman"/>
          <w:spacing w:val="-4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ha ulteriormente dettagliato il</w:t>
      </w:r>
      <w:r w:rsidRPr="00A869AE">
        <w:rPr>
          <w:rFonts w:ascii="Times New Roman" w:hAnsi="Times New Roman" w:cs="Times New Roman"/>
          <w:spacing w:val="-1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progetto;</w:t>
      </w:r>
    </w:p>
    <w:p w14:paraId="5CC5037D" w14:textId="77777777" w:rsidR="00A869AE" w:rsidRPr="00A869AE" w:rsidRDefault="00A869AE" w:rsidP="003D0A6C">
      <w:pPr>
        <w:widowControl w:val="0"/>
        <w:numPr>
          <w:ilvl w:val="1"/>
          <w:numId w:val="27"/>
        </w:numPr>
        <w:tabs>
          <w:tab w:val="left" w:pos="835"/>
          <w:tab w:val="left" w:pos="5864"/>
          <w:tab w:val="left" w:pos="8470"/>
        </w:tabs>
        <w:autoSpaceDE w:val="0"/>
        <w:autoSpaceDN w:val="0"/>
        <w:spacing w:before="11" w:after="0" w:line="271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869AE">
        <w:rPr>
          <w:rFonts w:ascii="Times New Roman" w:hAnsi="Times New Roman" w:cs="Times New Roman"/>
          <w:sz w:val="24"/>
        </w:rPr>
        <w:t>l’assegnazione delle</w:t>
      </w:r>
      <w:r w:rsidRPr="00A869AE">
        <w:rPr>
          <w:rFonts w:ascii="Times New Roman" w:hAnsi="Times New Roman" w:cs="Times New Roman"/>
          <w:spacing w:val="28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risorse</w:t>
      </w:r>
      <w:r w:rsidRPr="00A869AE">
        <w:rPr>
          <w:rFonts w:ascii="Times New Roman" w:hAnsi="Times New Roman" w:cs="Times New Roman"/>
          <w:spacing w:val="15"/>
          <w:sz w:val="24"/>
        </w:rPr>
        <w:t xml:space="preserve"> con decreto n. ________</w:t>
      </w:r>
      <w:proofErr w:type="gramStart"/>
      <w:r w:rsidRPr="00A869AE">
        <w:rPr>
          <w:rFonts w:ascii="Times New Roman" w:hAnsi="Times New Roman" w:cs="Times New Roman"/>
          <w:spacing w:val="15"/>
          <w:sz w:val="24"/>
        </w:rPr>
        <w:t xml:space="preserve">del </w:t>
      </w:r>
      <w:r w:rsidRPr="00A869AE">
        <w:rPr>
          <w:rFonts w:ascii="Times New Roman" w:hAnsi="Times New Roman" w:cs="Times New Roman"/>
          <w:sz w:val="24"/>
          <w:u w:val="single"/>
        </w:rPr>
        <w:t xml:space="preserve"> </w:t>
      </w:r>
      <w:r w:rsidRPr="00A869AE">
        <w:rPr>
          <w:rFonts w:ascii="Times New Roman" w:hAnsi="Times New Roman" w:cs="Times New Roman"/>
          <w:sz w:val="24"/>
          <w:u w:val="single"/>
        </w:rPr>
        <w:tab/>
      </w:r>
      <w:proofErr w:type="gramEnd"/>
      <w:r w:rsidRPr="00A869AE">
        <w:rPr>
          <w:rFonts w:ascii="Times New Roman" w:hAnsi="Times New Roman" w:cs="Times New Roman"/>
          <w:sz w:val="24"/>
        </w:rPr>
        <w:t>ai soggetti beneficiari per ciascun progetto oggetto di finanziamento a valere sull’avviso/legge</w:t>
      </w:r>
      <w:r w:rsidRPr="00A869AE">
        <w:rPr>
          <w:rFonts w:ascii="Times New Roman" w:hAnsi="Times New Roman" w:cs="Times New Roman"/>
          <w:spacing w:val="-1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t>di</w:t>
      </w:r>
      <w:r w:rsidRPr="00A869AE">
        <w:rPr>
          <w:rFonts w:ascii="Times New Roman" w:hAnsi="Times New Roman" w:cs="Times New Roman"/>
          <w:spacing w:val="-2"/>
          <w:sz w:val="24"/>
        </w:rPr>
        <w:t xml:space="preserve"> </w:t>
      </w:r>
      <w:r w:rsidRPr="00A869AE">
        <w:rPr>
          <w:rFonts w:ascii="Times New Roman" w:hAnsi="Times New Roman" w:cs="Times New Roman"/>
          <w:sz w:val="24"/>
        </w:rPr>
        <w:lastRenderedPageBreak/>
        <w:t>finanziamento</w:t>
      </w:r>
      <w:r w:rsidRPr="00A869AE">
        <w:rPr>
          <w:rFonts w:ascii="Times New Roman" w:hAnsi="Times New Roman" w:cs="Times New Roman"/>
          <w:sz w:val="24"/>
          <w:u w:val="single"/>
        </w:rPr>
        <w:t xml:space="preserve"> </w:t>
      </w:r>
      <w:r w:rsidRPr="00A869AE">
        <w:rPr>
          <w:rFonts w:ascii="Times New Roman" w:hAnsi="Times New Roman" w:cs="Times New Roman"/>
          <w:sz w:val="24"/>
          <w:u w:val="single"/>
        </w:rPr>
        <w:tab/>
      </w:r>
      <w:r w:rsidRPr="00A869AE">
        <w:rPr>
          <w:rFonts w:ascii="Times New Roman" w:hAnsi="Times New Roman" w:cs="Times New Roman"/>
          <w:sz w:val="24"/>
        </w:rPr>
        <w:t>;</w:t>
      </w:r>
    </w:p>
    <w:p w14:paraId="0D23B1A6" w14:textId="77777777" w:rsidR="00A869AE" w:rsidRPr="00A869AE" w:rsidRDefault="00A869AE" w:rsidP="00935321">
      <w:pPr>
        <w:widowControl w:val="0"/>
        <w:tabs>
          <w:tab w:val="left" w:pos="835"/>
          <w:tab w:val="left" w:pos="5864"/>
          <w:tab w:val="left" w:pos="8470"/>
        </w:tabs>
        <w:autoSpaceDE w:val="0"/>
        <w:autoSpaceDN w:val="0"/>
        <w:spacing w:before="11" w:after="0" w:line="271" w:lineRule="auto"/>
        <w:ind w:left="834" w:right="105"/>
        <w:jc w:val="both"/>
        <w:rPr>
          <w:rFonts w:ascii="Times New Roman" w:hAnsi="Times New Roman" w:cs="Times New Roman"/>
          <w:sz w:val="24"/>
        </w:rPr>
      </w:pPr>
    </w:p>
    <w:p w14:paraId="2D62DB9D" w14:textId="0375E9C2" w:rsidR="00A869AE" w:rsidRPr="00A869AE" w:rsidRDefault="00A869AE" w:rsidP="00A869AE">
      <w:pPr>
        <w:widowControl w:val="0"/>
        <w:autoSpaceDE w:val="0"/>
        <w:autoSpaceDN w:val="0"/>
        <w:spacing w:before="79" w:after="0" w:line="276" w:lineRule="auto"/>
        <w:ind w:left="115" w:right="10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b/>
          <w:sz w:val="24"/>
          <w:szCs w:val="24"/>
        </w:rPr>
        <w:t xml:space="preserve">CONSIDERATA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la necessità di regolamentare l’assegnazione e l’utilizzazione nonché</w:t>
      </w:r>
      <w:r w:rsidR="009353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869AE">
        <w:rPr>
          <w:rFonts w:ascii="Times New Roman" w:eastAsia="Times New Roman" w:hAnsi="Times New Roman" w:cs="Times New Roman"/>
          <w:sz w:val="24"/>
          <w:szCs w:val="24"/>
        </w:rPr>
        <w:t>la  rendicontazione</w:t>
      </w:r>
      <w:proofErr w:type="gramEnd"/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  delle risorse da parte del Soggetto Beneficiario;</w:t>
      </w:r>
    </w:p>
    <w:p w14:paraId="448FD340" w14:textId="77777777" w:rsidR="00A869AE" w:rsidRPr="00A869AE" w:rsidRDefault="00A869AE" w:rsidP="00A869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14:paraId="5CA82773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40" w:lineRule="auto"/>
        <w:ind w:left="11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b/>
          <w:bCs/>
          <w:sz w:val="24"/>
          <w:szCs w:val="24"/>
        </w:rPr>
        <w:t>TUTTO CIO’ PREMESSO E RITENUTO</w:t>
      </w:r>
    </w:p>
    <w:p w14:paraId="39FE4184" w14:textId="77777777" w:rsidR="00A869AE" w:rsidRPr="00A869AE" w:rsidRDefault="00A869AE" w:rsidP="00A869AE">
      <w:pPr>
        <w:widowControl w:val="0"/>
        <w:tabs>
          <w:tab w:val="left" w:pos="1555"/>
          <w:tab w:val="left" w:pos="7271"/>
          <w:tab w:val="left" w:pos="9219"/>
        </w:tabs>
        <w:autoSpaceDE w:val="0"/>
        <w:autoSpaceDN w:val="0"/>
        <w:spacing w:before="42" w:after="0" w:line="240" w:lineRule="auto"/>
        <w:ind w:left="115"/>
        <w:rPr>
          <w:rFonts w:ascii="Times New Roman" w:eastAsia="Times New Roman" w:hAnsi="Times New Roman" w:cs="Times New Roman"/>
          <w:sz w:val="31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A243D84" w14:textId="77777777" w:rsidR="00A869AE" w:rsidRPr="00A869AE" w:rsidRDefault="00A869AE" w:rsidP="00A86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b/>
          <w:bCs/>
          <w:sz w:val="24"/>
          <w:szCs w:val="24"/>
        </w:rPr>
        <w:t>SI CONVIENE E STIPULA QUANTO SEGUE</w:t>
      </w:r>
    </w:p>
    <w:p w14:paraId="6A720548" w14:textId="77777777" w:rsidR="0034128D" w:rsidRDefault="0034128D" w:rsidP="00A869AE">
      <w:pPr>
        <w:spacing w:before="37"/>
        <w:ind w:left="115"/>
        <w:jc w:val="center"/>
        <w:rPr>
          <w:rFonts w:ascii="Times New Roman" w:eastAsiaTheme="majorEastAsia" w:hAnsi="Times New Roman" w:cs="Times New Roman"/>
          <w:color w:val="262626" w:themeColor="text1" w:themeTint="D9"/>
          <w:sz w:val="32"/>
          <w:szCs w:val="32"/>
        </w:rPr>
      </w:pPr>
    </w:p>
    <w:p w14:paraId="6C6DB11E" w14:textId="32A476E5" w:rsidR="00A869AE" w:rsidRPr="00A869AE" w:rsidRDefault="0034128D" w:rsidP="00A869AE">
      <w:pPr>
        <w:spacing w:before="37"/>
        <w:ind w:left="115"/>
        <w:jc w:val="center"/>
        <w:rPr>
          <w:rFonts w:ascii="Times New Roman" w:hAnsi="Times New Roman" w:cs="Times New Roman"/>
          <w:b/>
          <w:sz w:val="24"/>
        </w:rPr>
      </w:pPr>
      <w:r w:rsidRPr="00A869AE">
        <w:rPr>
          <w:rFonts w:ascii="Times New Roman" w:hAnsi="Times New Roman" w:cs="Times New Roman"/>
          <w:b/>
          <w:sz w:val="24"/>
        </w:rPr>
        <w:t xml:space="preserve">Articolo </w:t>
      </w:r>
      <w:r>
        <w:rPr>
          <w:rFonts w:ascii="Times New Roman" w:hAnsi="Times New Roman" w:cs="Times New Roman"/>
          <w:b/>
          <w:sz w:val="24"/>
        </w:rPr>
        <w:t>1</w:t>
      </w:r>
      <w:r w:rsidRPr="00A869AE">
        <w:rPr>
          <w:rFonts w:ascii="Times New Roman" w:hAnsi="Times New Roman" w:cs="Times New Roman"/>
          <w:b/>
          <w:sz w:val="24"/>
        </w:rPr>
        <w:t xml:space="preserve"> </w:t>
      </w:r>
      <w:r w:rsidR="00A869AE" w:rsidRPr="00A869AE">
        <w:rPr>
          <w:rFonts w:ascii="Times New Roman" w:hAnsi="Times New Roman" w:cs="Times New Roman"/>
          <w:b/>
          <w:sz w:val="24"/>
        </w:rPr>
        <w:t>Oggetto</w:t>
      </w:r>
    </w:p>
    <w:p w14:paraId="4730BA1E" w14:textId="77777777" w:rsidR="00A869AE" w:rsidRPr="00A869AE" w:rsidRDefault="00A869AE" w:rsidP="00A869AE">
      <w:pPr>
        <w:widowControl w:val="0"/>
        <w:tabs>
          <w:tab w:val="left" w:pos="4707"/>
        </w:tabs>
        <w:autoSpaceDE w:val="0"/>
        <w:autoSpaceDN w:val="0"/>
        <w:spacing w:before="42" w:after="0" w:line="276" w:lineRule="auto"/>
        <w:ind w:left="114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Il Soggetto beneficiario dichiara di aver preso visione del </w:t>
      </w:r>
      <w:r w:rsidRPr="00A869AE">
        <w:rPr>
          <w:rFonts w:ascii="Times New Roman" w:eastAsia="Times New Roman" w:hAnsi="Times New Roman" w:cs="Times New Roman"/>
          <w:i/>
          <w:sz w:val="24"/>
          <w:szCs w:val="24"/>
        </w:rPr>
        <w:t>decreto di Ammissione a finanziamento/A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tto di selezione dei</w:t>
      </w:r>
      <w:r w:rsidRPr="00A869A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soggetti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attuatori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di cui questo atto è parte integrante come allegato e</w:t>
      </w:r>
      <w:r w:rsidRPr="00A869AE">
        <w:rPr>
          <w:rFonts w:ascii="Times New Roman" w:eastAsia="Times New Roman" w:hAnsi="Times New Roman" w:cs="Times New Roman"/>
          <w:spacing w:val="-3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di accettare espressamente e integralmente tutti i termini, gli obblighi e le condizioni ivi</w:t>
      </w:r>
      <w:r w:rsidRPr="00A869AE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previste.</w:t>
      </w:r>
    </w:p>
    <w:p w14:paraId="3360F23B" w14:textId="77777777" w:rsidR="00A869AE" w:rsidRPr="00A869AE" w:rsidRDefault="00A869AE" w:rsidP="00A869AE">
      <w:pPr>
        <w:widowControl w:val="0"/>
        <w:tabs>
          <w:tab w:val="left" w:pos="2421"/>
          <w:tab w:val="left" w:pos="4446"/>
          <w:tab w:val="left" w:pos="4720"/>
          <w:tab w:val="left" w:pos="7854"/>
          <w:tab w:val="left" w:pos="8828"/>
        </w:tabs>
        <w:autoSpaceDE w:val="0"/>
        <w:autoSpaceDN w:val="0"/>
        <w:spacing w:before="120" w:after="0" w:line="276" w:lineRule="auto"/>
        <w:ind w:left="115" w:right="10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>Dichiara altresì, di accettare, in qualità di Soggetto proponente, il finanziamento concesso a valere sul PNRR Missione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Componente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Investimento/</w:t>
      </w:r>
      <w:proofErr w:type="spellStart"/>
      <w:r w:rsidRPr="00A869AE">
        <w:rPr>
          <w:rFonts w:ascii="Times New Roman" w:eastAsia="Times New Roman" w:hAnsi="Times New Roman" w:cs="Times New Roman"/>
          <w:sz w:val="24"/>
          <w:szCs w:val="24"/>
        </w:rPr>
        <w:t>Subinvestimento</w:t>
      </w:r>
      <w:proofErr w:type="spellEnd"/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, fino </w:t>
      </w:r>
      <w:r w:rsidRPr="00A869A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ad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un importo massimo di</w:t>
      </w:r>
      <w:r w:rsidRPr="00A869AE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gramStart"/>
      <w:r w:rsidRPr="00A869AE">
        <w:rPr>
          <w:rFonts w:ascii="Times New Roman" w:eastAsia="Times New Roman" w:hAnsi="Times New Roman" w:cs="Times New Roman"/>
          <w:sz w:val="24"/>
          <w:szCs w:val="24"/>
        </w:rPr>
        <w:t>Euro</w:t>
      </w:r>
      <w:proofErr w:type="gramEnd"/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, destinato alla copertura dei costi così come declinati e dettagliati nel documento descrittivo del progetto presentato</w:t>
      </w:r>
      <w:r w:rsidRPr="00A869A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A869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- allegato al presente atto.</w:t>
      </w:r>
    </w:p>
    <w:p w14:paraId="29399967" w14:textId="2CE782CD" w:rsidR="00A869AE" w:rsidRPr="00A869AE" w:rsidRDefault="00A869AE" w:rsidP="00A869AE">
      <w:pPr>
        <w:widowControl w:val="0"/>
        <w:tabs>
          <w:tab w:val="left" w:pos="4158"/>
        </w:tabs>
        <w:autoSpaceDE w:val="0"/>
        <w:autoSpaceDN w:val="0"/>
        <w:spacing w:before="3" w:after="0" w:line="271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>Dichiara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di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impegnarsi</w:t>
      </w:r>
      <w:r w:rsidRPr="00A869A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svolgere</w:t>
      </w:r>
      <w:r w:rsidRPr="00A869A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il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progetto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nei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tempi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nei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modi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indicati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nel</w:t>
      </w:r>
      <w:r w:rsidRPr="00A869A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citato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documento</w:t>
      </w:r>
      <w:r w:rsidRPr="00A869A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descrittivo del progetto presentato</w:t>
      </w:r>
      <w:r w:rsidRPr="00A869A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A869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data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004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="003004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 allegato al presente</w:t>
      </w:r>
      <w:r w:rsidRPr="00A869A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atto.</w:t>
      </w:r>
    </w:p>
    <w:p w14:paraId="21BEC156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2E0BCD92" w14:textId="77777777" w:rsidR="00A869AE" w:rsidRPr="00A869AE" w:rsidRDefault="00A869AE" w:rsidP="00A869AE">
      <w:pPr>
        <w:spacing w:before="38"/>
        <w:ind w:left="114"/>
        <w:jc w:val="center"/>
        <w:rPr>
          <w:rFonts w:ascii="Times New Roman" w:hAnsi="Times New Roman" w:cs="Times New Roman"/>
          <w:b/>
          <w:sz w:val="24"/>
        </w:rPr>
      </w:pPr>
      <w:r w:rsidRPr="00A869AE">
        <w:rPr>
          <w:rFonts w:ascii="Times New Roman" w:hAnsi="Times New Roman" w:cs="Times New Roman"/>
          <w:b/>
          <w:sz w:val="24"/>
        </w:rPr>
        <w:t>Articolo 2 Termini di attuazione del progetto, durata e importo della Convenzione</w:t>
      </w:r>
    </w:p>
    <w:p w14:paraId="15DA1EE7" w14:textId="19558D65" w:rsidR="00A869AE" w:rsidRPr="00A869AE" w:rsidRDefault="00A869AE" w:rsidP="00A869AE">
      <w:pPr>
        <w:widowControl w:val="0"/>
        <w:autoSpaceDE w:val="0"/>
        <w:autoSpaceDN w:val="0"/>
        <w:spacing w:before="1" w:after="0" w:line="288" w:lineRule="auto"/>
        <w:ind w:left="112" w:right="103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>Il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progetto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denominato</w:t>
      </w:r>
      <w:r w:rsidRPr="00A869AE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proofErr w:type="gramStart"/>
      <w:r w:rsidRPr="00A869AE">
        <w:rPr>
          <w:rFonts w:ascii="Times New Roman" w:eastAsia="Times New Roman" w:hAnsi="Times New Roman"/>
          <w:sz w:val="24"/>
          <w:szCs w:val="24"/>
        </w:rPr>
        <w:t>“</w:t>
      </w:r>
      <w:r w:rsidRPr="00A869AE">
        <w:rPr>
          <w:rFonts w:ascii="Times New Roman" w:eastAsia="Times New Roman" w:hAnsi="Times New Roman"/>
          <w:sz w:val="24"/>
          <w:szCs w:val="24"/>
          <w:u w:val="single"/>
        </w:rPr>
        <w:t xml:space="preserve">  </w:t>
      </w:r>
      <w:proofErr w:type="gramEnd"/>
      <w:r w:rsidRPr="00A869AE">
        <w:rPr>
          <w:rFonts w:ascii="Times New Roman" w:eastAsia="Times New Roman" w:hAnsi="Times New Roman"/>
          <w:sz w:val="24"/>
          <w:szCs w:val="24"/>
          <w:u w:val="single"/>
        </w:rPr>
        <w:t xml:space="preserve">   </w:t>
      </w:r>
      <w:r w:rsidRPr="00A869AE">
        <w:rPr>
          <w:rFonts w:ascii="Times New Roman" w:eastAsia="Times New Roman" w:hAnsi="Times New Roman"/>
          <w:spacing w:val="30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”,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come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sopra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ammesso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al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finanziamento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per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euro</w:t>
      </w:r>
      <w:r w:rsidRPr="00A869AE">
        <w:rPr>
          <w:rFonts w:ascii="Times New Roman" w:eastAsia="Times New Roman" w:hAnsi="Times New Roman"/>
          <w:sz w:val="24"/>
          <w:szCs w:val="24"/>
          <w:u w:val="single"/>
        </w:rPr>
        <w:t xml:space="preserve">     </w:t>
      </w:r>
      <w:r w:rsidRPr="00A869AE">
        <w:rPr>
          <w:rFonts w:ascii="Times New Roman" w:eastAsia="Times New Roman" w:hAnsi="Times New Roman"/>
          <w:spacing w:val="42"/>
          <w:sz w:val="24"/>
          <w:szCs w:val="24"/>
          <w:u w:val="single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valere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sui</w:t>
      </w:r>
      <w:r w:rsidRPr="00A869A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fondi</w:t>
      </w:r>
      <w:r w:rsidRPr="00A869AE">
        <w:rPr>
          <w:rFonts w:ascii="Times New Roman" w:eastAsia="Times New Roman" w:hAnsi="Times New Roman"/>
          <w:spacing w:val="-5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con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CUP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E63C22002000002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avrà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la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durata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18 mesi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sarà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attuato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secondo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modalità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descritte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dal Bando.</w:t>
      </w:r>
    </w:p>
    <w:p w14:paraId="6BE0349E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88" w:lineRule="auto"/>
        <w:ind w:left="112" w:right="102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>Nel rispetto di tali previsioni, il Beneficiario è tenuto ad assicurare l’avvio tempestivo delle attività per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non incorrere in ritardi attuativi e la conclusione del Progetto nel rispetto della tempistica prevista. Le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attività, come dettagliate nei già menzionati allegati, dovranno essere avviate dal Beneficiario a partire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dalla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data di sottoscrizione</w:t>
      </w:r>
      <w:r w:rsidRPr="00A869A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del</w:t>
      </w:r>
      <w:r w:rsidRPr="00A869A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presente atto.</w:t>
      </w:r>
    </w:p>
    <w:p w14:paraId="134F9427" w14:textId="13C7BF37" w:rsidR="00A869AE" w:rsidRPr="00A869AE" w:rsidRDefault="00A869AE" w:rsidP="00A869AE">
      <w:pPr>
        <w:widowControl w:val="0"/>
        <w:autoSpaceDE w:val="0"/>
        <w:autoSpaceDN w:val="0"/>
        <w:spacing w:before="120" w:after="0" w:line="288" w:lineRule="auto"/>
        <w:ind w:left="112" w:right="102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>La durata di realizzazione del Progetto decorre dalla sottoscrizione del</w:t>
      </w:r>
      <w:r w:rsidR="00891762">
        <w:rPr>
          <w:rFonts w:ascii="Times New Roman" w:eastAsia="Times New Roman" w:hAnsi="Times New Roman"/>
          <w:sz w:val="24"/>
          <w:szCs w:val="24"/>
        </w:rPr>
        <w:t xml:space="preserve">l’Atto d’Obbligo </w:t>
      </w:r>
      <w:r w:rsidRPr="00A869AE">
        <w:rPr>
          <w:rFonts w:ascii="Times New Roman" w:eastAsia="Times New Roman" w:hAnsi="Times New Roman"/>
          <w:sz w:val="24"/>
          <w:szCs w:val="24"/>
        </w:rPr>
        <w:t xml:space="preserve">ed è </w:t>
      </w:r>
      <w:r w:rsidRPr="00A869AE">
        <w:rPr>
          <w:rFonts w:ascii="Times New Roman" w:hAnsi="Times New Roman" w:cs="Times New Roman"/>
          <w:sz w:val="24"/>
          <w:szCs w:val="24"/>
        </w:rPr>
        <w:t>possibile ottenere una sola proroga di massimo 3 mesi, purché i lavori vengano conclusi e rendicontati nel termine del 31/10/2025.</w:t>
      </w:r>
    </w:p>
    <w:p w14:paraId="070F80F2" w14:textId="77777777" w:rsidR="00A869AE" w:rsidRPr="00A869AE" w:rsidRDefault="00A869AE" w:rsidP="001718FC">
      <w:pPr>
        <w:keepNext/>
        <w:keepLines/>
        <w:spacing w:before="240" w:after="0"/>
        <w:outlineLvl w:val="0"/>
        <w:rPr>
          <w:rFonts w:ascii="Times New Roman" w:eastAsiaTheme="majorEastAsia" w:hAnsi="Times New Roman" w:cs="Times New Roman"/>
          <w:color w:val="262626" w:themeColor="text1" w:themeTint="D9"/>
          <w:sz w:val="24"/>
          <w:szCs w:val="32"/>
        </w:rPr>
      </w:pPr>
    </w:p>
    <w:p w14:paraId="78D27464" w14:textId="77777777" w:rsidR="00A869AE" w:rsidRPr="00A869AE" w:rsidRDefault="00A869AE" w:rsidP="00A869AE">
      <w:pPr>
        <w:spacing w:before="37" w:line="268" w:lineRule="exact"/>
        <w:ind w:left="3331"/>
        <w:jc w:val="both"/>
        <w:rPr>
          <w:rFonts w:ascii="Times New Roman" w:hAnsi="Times New Roman" w:cs="Times New Roman"/>
          <w:b/>
          <w:sz w:val="24"/>
        </w:rPr>
      </w:pPr>
      <w:r w:rsidRPr="00A869AE">
        <w:rPr>
          <w:rFonts w:ascii="Times New Roman" w:hAnsi="Times New Roman" w:cs="Times New Roman"/>
          <w:b/>
          <w:sz w:val="24"/>
        </w:rPr>
        <w:t>Articolo 3 Obblighi del Soggetto Beneficiario</w:t>
      </w:r>
    </w:p>
    <w:p w14:paraId="3CC80E2C" w14:textId="77777777" w:rsidR="00A869AE" w:rsidRPr="00A869AE" w:rsidRDefault="00A869AE" w:rsidP="00A869AE">
      <w:pPr>
        <w:widowControl w:val="0"/>
        <w:tabs>
          <w:tab w:val="left" w:pos="284"/>
        </w:tabs>
        <w:autoSpaceDE w:val="0"/>
        <w:autoSpaceDN w:val="0"/>
        <w:spacing w:before="24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Il  Soggetto</w:t>
      </w:r>
      <w:proofErr w:type="gramEnd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 Beneficiario dovrà adempiere ai seguenti obblighi:</w:t>
      </w:r>
    </w:p>
    <w:p w14:paraId="61D492E9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2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garantire la piena attuazione del progetto così come approvato, assicurando l’avvio tempestivo delle attività progettuali per non incorrere in ritardi attuativi e concludere il progetto nel rispetto della tempistica prevista;</w:t>
      </w:r>
    </w:p>
    <w:p w14:paraId="3314E82F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0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attuare tutte le eventuali varianti e/o modifiche al progetto, purché preventivamente autorizzate secondo le modalità previste </w:t>
      </w:r>
      <w:proofErr w:type="gramStart"/>
      <w:r w:rsidRPr="00A869AE">
        <w:rPr>
          <w:rFonts w:ascii="Times New Roman" w:hAnsi="Times New Roman"/>
          <w:sz w:val="24"/>
          <w:szCs w:val="24"/>
        </w:rPr>
        <w:t>dal  Bando</w:t>
      </w:r>
      <w:proofErr w:type="gramEnd"/>
    </w:p>
    <w:p w14:paraId="441C305C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4"/>
        </w:tabs>
        <w:autoSpaceDE w:val="0"/>
        <w:autoSpaceDN w:val="0"/>
        <w:spacing w:before="60" w:after="0" w:line="276" w:lineRule="auto"/>
        <w:ind w:left="284" w:right="109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adottare il sistema informatico utilizzato dal MUR “</w:t>
      </w:r>
      <w:proofErr w:type="spellStart"/>
      <w:r w:rsidRPr="00A869AE">
        <w:rPr>
          <w:rFonts w:ascii="Times New Roman" w:hAnsi="Times New Roman"/>
          <w:sz w:val="24"/>
          <w:szCs w:val="24"/>
        </w:rPr>
        <w:t>AtWork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” finalizzato a raccogliere, registrare e archiviare in formato elettronico i dati per ciascuna operazione necessari per la sorveglianza, la valutazione, la gestione finanziaria, la verifica e l’audit, secondo quanto previsto dall’art. 22.2 lettera d) del Regolamento (UE) 2021/241 e tenendo conto delle indicazioni che verranno fornite dal MUR per tramite di HUB e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>;</w:t>
      </w:r>
    </w:p>
    <w:p w14:paraId="087818BC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1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caricare sul sistema informativo adottato dal MUR i dati di monitoraggio sull’avanzamento procedurale, fisico e finanziario del progetto secondo quanto previsto dall’art. 22.2 lettera d) del Regolamento (UE) 2021/241, e documentazione probatoria pertinente, nonché i dati e la documentazione utile all’esecuzione dei controlli preliminari di conformità normativa sulle procedure di aggiudicazione da parte dell’Ufficio competente per i controlli del MUR, sulla base delle istruzioni contenute nella connessa manualistica predisposta da quest’ultima;</w:t>
      </w:r>
    </w:p>
    <w:p w14:paraId="02599993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0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comprovare il conseguimento degli obiettivi del progetto di ricerca, trasmettendo, con cadenza periodica ovvero su richiesta dello SPOKE ed HUB, ogni informazione necessaria alla corretta alimentazione del Sistema “</w:t>
      </w:r>
      <w:proofErr w:type="spellStart"/>
      <w:r w:rsidRPr="00A869AE">
        <w:rPr>
          <w:rFonts w:ascii="Times New Roman" w:hAnsi="Times New Roman"/>
          <w:sz w:val="24"/>
          <w:szCs w:val="24"/>
        </w:rPr>
        <w:t>ReGiS</w:t>
      </w:r>
      <w:proofErr w:type="spellEnd"/>
      <w:r w:rsidRPr="00A869AE">
        <w:rPr>
          <w:rFonts w:ascii="Times New Roman" w:hAnsi="Times New Roman"/>
          <w:sz w:val="24"/>
          <w:szCs w:val="24"/>
        </w:rPr>
        <w:t>”;</w:t>
      </w:r>
    </w:p>
    <w:p w14:paraId="4265557F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3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garantire la correttezza, l’affidabilità e la congruenza con il tracciato informativo previsto per l’alimentazione del sistema informativo PNRR (</w:t>
      </w:r>
      <w:proofErr w:type="spellStart"/>
      <w:r w:rsidRPr="00A869AE">
        <w:rPr>
          <w:rFonts w:ascii="Times New Roman" w:hAnsi="Times New Roman"/>
          <w:sz w:val="24"/>
          <w:szCs w:val="24"/>
        </w:rPr>
        <w:t>ReGiS</w:t>
      </w:r>
      <w:proofErr w:type="spellEnd"/>
      <w:r w:rsidRPr="00A869AE">
        <w:rPr>
          <w:rFonts w:ascii="Times New Roman" w:hAnsi="Times New Roman"/>
          <w:sz w:val="24"/>
          <w:szCs w:val="24"/>
        </w:rPr>
        <w:t>) dei dati di monitoraggio finanziario, fisico e procedurale;</w:t>
      </w:r>
    </w:p>
    <w:p w14:paraId="448DD2B7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3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elaborazione della rendicontazione fisica e finanziaria delle spese effettivamente sostenute, nonché la predisposizione, relativamente alle proprie attività, della documentazione necessaria alla dimostrazione dello svolgimento del progetto, secondo quanto stabilito nella sez. 5.2 del Bando;</w:t>
      </w:r>
    </w:p>
    <w:p w14:paraId="0FD97E57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1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essere responsabile per la propria parte delle spese effettuate per l’esecuzione delle attività, con riferimento alla loro eleggibilità ed al conseguente co-finanziamento e, ove le spese non siano ammissibili e/o eleggibili e/o non finanziate, provvederà interamente alla loro copertura;</w:t>
      </w:r>
    </w:p>
    <w:p w14:paraId="25D08A80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2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effettuare i controlli di gestione e amministrativo-contabili previsti dalla legislazione nazionale applicabile per garantire la regolarità delle procedure e delle spese sostenute, nonché la riferibilità delle spese al progetto ammesso al finanziamento sul PNRR;</w:t>
      </w:r>
    </w:p>
    <w:p w14:paraId="4C5E217F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08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garantire, ai fini della tracciabilità delle risorse del PNRR, che tutte le spese relative al progetto siano effettuate attraverso l’utilizzo di un’apposita contabilità separata, nonché rispettare </w:t>
      </w:r>
      <w:r w:rsidRPr="00A869AE">
        <w:rPr>
          <w:rFonts w:ascii="Times New Roman" w:hAnsi="Times New Roman"/>
          <w:sz w:val="24"/>
          <w:szCs w:val="24"/>
        </w:rPr>
        <w:lastRenderedPageBreak/>
        <w:t>l’obbligo di indicare il CUP assegnatogli, su tutti gli atti amministrativo/contabili relativi al progetto nel rispetto del Regolamento (UE) 2018/1046 del 18 luglio 2018;</w:t>
      </w:r>
    </w:p>
    <w:p w14:paraId="5237EC89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0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consentire e favorire, in ogni fase del procedimento, lo svolgimento di tutti i controlli, ispezioni e monitoraggi disposti dal MUR, facilitando altresì le verifiche dell’Ufficio competente per i controlli del MUR, dell’Unità di Audit, della Commissione europea e di altri organismi autorizzati, che verranno effettuate anche attraverso controlli in loco presso i Soggetti beneficiari dei finanziamenti;</w:t>
      </w:r>
    </w:p>
    <w:p w14:paraId="467A3716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4"/>
        </w:tabs>
        <w:autoSpaceDE w:val="0"/>
        <w:autoSpaceDN w:val="0"/>
        <w:spacing w:before="60" w:after="0" w:line="276" w:lineRule="auto"/>
        <w:ind w:left="284" w:right="109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garantire, a pena di sospensione o revoca del finanziamento in caso di accertata violazione, nell’attuazione del progetto, il rispetto del principio del “Do No </w:t>
      </w:r>
      <w:proofErr w:type="spellStart"/>
      <w:r w:rsidRPr="00A869AE">
        <w:rPr>
          <w:rFonts w:ascii="Times New Roman" w:hAnsi="Times New Roman"/>
          <w:sz w:val="24"/>
          <w:szCs w:val="24"/>
        </w:rPr>
        <w:t>Significant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69AE">
        <w:rPr>
          <w:rFonts w:ascii="Times New Roman" w:hAnsi="Times New Roman"/>
          <w:sz w:val="24"/>
          <w:szCs w:val="24"/>
        </w:rPr>
        <w:t>Harm</w:t>
      </w:r>
      <w:proofErr w:type="spellEnd"/>
      <w:r w:rsidRPr="00A869AE">
        <w:rPr>
          <w:rFonts w:ascii="Times New Roman" w:hAnsi="Times New Roman"/>
          <w:sz w:val="24"/>
          <w:szCs w:val="24"/>
        </w:rPr>
        <w:t>” (DNSH) a norma dell’articolo 17 del Regolamento (UE) 2020/852, nonché dei principi trasversali previsti dal PNRR, quali, tra gli altri, il principio del contributo all’obiettivo climatico e digitale (c.d. tagging), il principio di parità di genere, e l’obbligo di protezione e valorizzazione dei giovani;</w:t>
      </w:r>
    </w:p>
    <w:p w14:paraId="59A00F5F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4"/>
        </w:tabs>
        <w:autoSpaceDE w:val="0"/>
        <w:autoSpaceDN w:val="0"/>
        <w:spacing w:before="60" w:after="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assicurare il rispetto della normativa vigente sugli aiuti di Stato;</w:t>
      </w:r>
    </w:p>
    <w:p w14:paraId="6C7A9B2E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4"/>
        </w:tabs>
        <w:autoSpaceDE w:val="0"/>
        <w:autoSpaceDN w:val="0"/>
        <w:spacing w:before="60" w:after="0" w:line="276" w:lineRule="auto"/>
        <w:ind w:left="284" w:right="113" w:hanging="284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assicurare che le spese del progetto non siano oggetto di altri finanziamenti, contributi o agevolazioni a valere su fondi pubblici nazionali e/o comunitari;</w:t>
      </w:r>
    </w:p>
    <w:p w14:paraId="36A03497" w14:textId="3BE5B172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partecipare, ove richiesto, alle riunioni convocate da UNINA o dall’HUB</w:t>
      </w:r>
      <w:r w:rsidR="0040102A">
        <w:rPr>
          <w:rFonts w:ascii="Times New Roman" w:hAnsi="Times New Roman"/>
          <w:sz w:val="24"/>
          <w:szCs w:val="24"/>
        </w:rPr>
        <w:t>;</w:t>
      </w:r>
    </w:p>
    <w:p w14:paraId="3B0E4884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essere responsabile in sede risarcitoria per qualsiasi perdita, danno o eventuale lesione derivanti da fatti, azioni o omissioni propri e/o dei propri dipendenti e collaboratori.</w:t>
      </w:r>
    </w:p>
    <w:p w14:paraId="2E00CA9E" w14:textId="75D53E46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2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individuare eventuali fattori che possano determinare ritardi che incidano in maniera considerevole sulla tempistica attuativa e di spesa definita nel progetto, relazionando allo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sugli stessi</w:t>
      </w:r>
      <w:r w:rsidR="0040102A">
        <w:rPr>
          <w:rFonts w:ascii="Times New Roman" w:hAnsi="Times New Roman"/>
          <w:sz w:val="24"/>
          <w:szCs w:val="24"/>
        </w:rPr>
        <w:t>;</w:t>
      </w:r>
    </w:p>
    <w:p w14:paraId="6F69E0FE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1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notificare tempestivamente a UNINA, affinché lo notifichi all’Hub e se necessario l’Hub al MUR, qualsiasi informazione significativa, fatto, problema o ritardo che possa influire sul progetto;</w:t>
      </w:r>
    </w:p>
    <w:p w14:paraId="4BE9690F" w14:textId="77777777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1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547036CB" w14:textId="544DA1FF" w:rsidR="00A869AE" w:rsidRPr="00A869AE" w:rsidRDefault="00A869AE" w:rsidP="003D0A6C">
      <w:pPr>
        <w:widowControl w:val="0"/>
        <w:numPr>
          <w:ilvl w:val="0"/>
          <w:numId w:val="19"/>
        </w:numPr>
        <w:tabs>
          <w:tab w:val="left" w:pos="284"/>
          <w:tab w:val="left" w:pos="593"/>
        </w:tabs>
        <w:autoSpaceDE w:val="0"/>
        <w:autoSpaceDN w:val="0"/>
        <w:spacing w:before="60" w:after="0" w:line="276" w:lineRule="auto"/>
        <w:ind w:left="284" w:right="11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garantire la conservazione della documentazione, tracciabilità delle operazioni, e gli adempimenti in materia di informazione, comunicazione e visibilità, nei termini precisati nel bando</w:t>
      </w:r>
      <w:r w:rsidR="0040102A">
        <w:rPr>
          <w:rFonts w:ascii="Times New Roman" w:hAnsi="Times New Roman"/>
          <w:sz w:val="24"/>
          <w:szCs w:val="24"/>
        </w:rPr>
        <w:t>.</w:t>
      </w:r>
    </w:p>
    <w:p w14:paraId="6FF2FB7C" w14:textId="78DD13CD" w:rsidR="00A869AE" w:rsidRPr="00DB1417" w:rsidRDefault="00A869AE" w:rsidP="00A869AE">
      <w:pPr>
        <w:widowControl w:val="0"/>
        <w:tabs>
          <w:tab w:val="left" w:pos="284"/>
        </w:tabs>
        <w:autoSpaceDE w:val="0"/>
        <w:autoSpaceDN w:val="0"/>
        <w:spacing w:before="480"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B1417">
        <w:rPr>
          <w:rFonts w:ascii="Times New Roman" w:hAnsi="Times New Roman" w:cs="Times New Roman"/>
          <w:b/>
          <w:sz w:val="24"/>
        </w:rPr>
        <w:t>Articolo 4 Modalità di erogazione delle agevolazioni e rendicontazione delle spese</w:t>
      </w:r>
    </w:p>
    <w:p w14:paraId="57A6B9E8" w14:textId="77777777" w:rsidR="00A869AE" w:rsidRPr="00A869AE" w:rsidRDefault="00A869AE" w:rsidP="003D0A6C">
      <w:pPr>
        <w:numPr>
          <w:ilvl w:val="0"/>
          <w:numId w:val="20"/>
        </w:num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Il Beneficiario assegnatario del finanziamento si impegna a produrre e registrare quando venga richiesto dallo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e comunque nei termini esplicitati dal contratto i dati di avanzamento finanziario e fisico sul sistema informativo adottato dal MUR “</w:t>
      </w:r>
      <w:proofErr w:type="spellStart"/>
      <w:r w:rsidRPr="00A869AE">
        <w:rPr>
          <w:rFonts w:ascii="Times New Roman" w:hAnsi="Times New Roman"/>
          <w:sz w:val="24"/>
          <w:szCs w:val="24"/>
        </w:rPr>
        <w:t>AtWork</w:t>
      </w:r>
      <w:proofErr w:type="spellEnd"/>
      <w:r w:rsidRPr="00A869AE">
        <w:rPr>
          <w:rFonts w:ascii="Times New Roman" w:hAnsi="Times New Roman"/>
          <w:sz w:val="24"/>
          <w:szCs w:val="24"/>
        </w:rPr>
        <w:t>” ed implementare tale sistema secondo le modalità e la modulistica indicata dal MUR e da HUB con:</w:t>
      </w:r>
    </w:p>
    <w:p w14:paraId="3236EED8" w14:textId="77777777" w:rsidR="00A869AE" w:rsidRPr="00A869AE" w:rsidRDefault="00A869AE" w:rsidP="003D0A6C">
      <w:pPr>
        <w:numPr>
          <w:ilvl w:val="1"/>
          <w:numId w:val="25"/>
        </w:numPr>
        <w:spacing w:before="60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la documentazione attestante le attività progettuali svolte, avanzamento e conseguimento di milestone e target, intermedi e finali, previsti nel progetto approvato;</w:t>
      </w:r>
    </w:p>
    <w:p w14:paraId="0075AE16" w14:textId="77777777" w:rsidR="00A869AE" w:rsidRPr="00A869AE" w:rsidRDefault="00A869AE" w:rsidP="003D0A6C">
      <w:pPr>
        <w:numPr>
          <w:ilvl w:val="1"/>
          <w:numId w:val="25"/>
        </w:numPr>
        <w:spacing w:before="60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lastRenderedPageBreak/>
        <w:t>la documentazione specifica amministrativo-contabile relativa a ciascuna procedura di affidamento e a ciascun atto giustificativo di spesa e di pagamento, nonché la complessiva rendicontazione delle spese sostenute;</w:t>
      </w:r>
    </w:p>
    <w:p w14:paraId="3DA43EC2" w14:textId="77777777" w:rsidR="00A869AE" w:rsidRPr="00A869AE" w:rsidRDefault="00A869AE" w:rsidP="003D0A6C">
      <w:pPr>
        <w:numPr>
          <w:ilvl w:val="1"/>
          <w:numId w:val="25"/>
        </w:numPr>
        <w:spacing w:before="60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tutti i documenti aggiuntivi eventualmente richiesti dal MUR e dall’Hub stesso.</w:t>
      </w:r>
    </w:p>
    <w:p w14:paraId="61087E3B" w14:textId="77777777" w:rsidR="00A869AE" w:rsidRPr="00A869AE" w:rsidRDefault="00A869AE" w:rsidP="003D0A6C">
      <w:pPr>
        <w:numPr>
          <w:ilvl w:val="0"/>
          <w:numId w:val="20"/>
        </w:num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Ogni proponente dovrà trasmettere allo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quando venga richiesto dal MUR o dall’Hub del progetto RETURN: il Rendiconto di progetto, comprensivo dell’elenco di tutte le spese effettivamente sostenute e registrate tramite il sistema informatico adottato nel periodo di riferimento di cui lettera b) e c), accompagnato da Relazione tecnica di avanzamento lavori di progetto trasmessa per tramite del Capofila – con descrizione degli avanzamenti complessivi relativi ai risultati di progetto nel periodo, con specifico riferimento ai milestone e target, intermedi e finali, raggiunti di cui lettera a).</w:t>
      </w:r>
    </w:p>
    <w:p w14:paraId="1DDF7600" w14:textId="77777777" w:rsidR="00A869AE" w:rsidRPr="00A869AE" w:rsidRDefault="00A869AE" w:rsidP="003D0A6C">
      <w:pPr>
        <w:numPr>
          <w:ilvl w:val="0"/>
          <w:numId w:val="20"/>
        </w:num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Il Rendiconto finale di progetto dovrà obbligatoriamente essere accompagnato da verifica e certificazione dei costi attestati (audit) da parte di soggetti iscritti nel registro dei revisori legali incaricati dal beneficiario, che certifichi le spese sostenute, la congruenza delle stesse rispetto al progetto, e ne attesti la coerenza rispetto alle regole del Bando, con relazione tecnica unitamente con esplicita dichiarazione di responsabilità.</w:t>
      </w:r>
    </w:p>
    <w:p w14:paraId="20BEAC4D" w14:textId="77777777" w:rsidR="00A869AE" w:rsidRPr="00A869AE" w:rsidRDefault="00A869AE" w:rsidP="003D0A6C">
      <w:pPr>
        <w:numPr>
          <w:ilvl w:val="0"/>
          <w:numId w:val="20"/>
        </w:num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Per le modalità di gestione, monitoraggio, la rendicontazione e la documentazione da produrre per garantire la corretta attuazione del progetto e il monitoraggio degli interventi si rinvia alla documentazione descrittiva delle modalità di gestione e attuazione emanate dal MUR e </w:t>
      </w:r>
      <w:proofErr w:type="spellStart"/>
      <w:r w:rsidRPr="00A869AE">
        <w:rPr>
          <w:rFonts w:ascii="Times New Roman" w:hAnsi="Times New Roman"/>
          <w:sz w:val="24"/>
          <w:szCs w:val="24"/>
        </w:rPr>
        <w:t>s.m.i.</w:t>
      </w:r>
      <w:proofErr w:type="spellEnd"/>
      <w:r w:rsidRPr="00A869AE">
        <w:rPr>
          <w:rFonts w:ascii="Times New Roman" w:hAnsi="Times New Roman"/>
          <w:sz w:val="24"/>
          <w:szCs w:val="24"/>
        </w:rPr>
        <w:t>, nel rispetto dell’articolo 8, punto 3 del decreto-legge n. 77 del 31 maggio 2021, come modificato dalla Legge di conversione 29 luglio 2021, n. 108.</w:t>
      </w:r>
    </w:p>
    <w:p w14:paraId="4DE4D8B1" w14:textId="77777777" w:rsidR="00A869AE" w:rsidRPr="00A869AE" w:rsidRDefault="00A869AE" w:rsidP="003D0A6C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240" w:after="0" w:line="276" w:lineRule="auto"/>
        <w:ind w:right="11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Lo </w:t>
      </w:r>
      <w:proofErr w:type="spellStart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Spoke</w:t>
      </w:r>
      <w:proofErr w:type="spellEnd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, dopo avere effettivamente ricevuto l’erogazione dall’HUB, si impegna a trasferire il contributo pubblico maturato in relazione alle attività eseguite e alle spese sostenute e rendicontate indicate in sede di Rendiconto di progetto in seguito al controllo e validazione delle stesse con le modalità sopraindicate e sino a un massimo del 80% del contributo complessivo del singolo beneficiario.</w:t>
      </w:r>
    </w:p>
    <w:p w14:paraId="5F59EC85" w14:textId="1AF37CA9" w:rsidR="00A869AE" w:rsidRPr="00A869AE" w:rsidRDefault="00A869AE" w:rsidP="003D0A6C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120" w:after="0" w:line="276" w:lineRule="auto"/>
        <w:ind w:right="11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L’erogazione finale (pari al 20%) è disposta, sempre previa erogazione a UNINA da parte dell’HUB, a conclusione del progetto, sulla base dei costi effettivamente sostenuti e della realizzazione degli obiettivi fissati, positivamente valutati da UNINA con il supporto del R</w:t>
      </w:r>
      <w:r w:rsidR="00840EE8">
        <w:rPr>
          <w:rFonts w:ascii="Times New Roman" w:eastAsia="Times New Roman" w:hAnsi="Times New Roman"/>
          <w:sz w:val="24"/>
          <w:szCs w:val="24"/>
          <w:lang w:eastAsia="it-IT"/>
        </w:rPr>
        <w:t>esponsabile del Procedimento</w:t>
      </w: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 a seguito della verifica della relazione tecnica finale complessiva unica di tutto il progetto, che dovrà essere trasmessa dal Soggetto Proponente o dal Capofila delle proposte in forma congiunta unitamente alla rendicontazione finale secondo la procedura precedentemente descritta.</w:t>
      </w:r>
    </w:p>
    <w:p w14:paraId="17D38B93" w14:textId="77777777" w:rsidR="00A869AE" w:rsidRPr="00A869AE" w:rsidRDefault="00A869AE" w:rsidP="003D0A6C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24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Ogni erogazione dell’agevolazione è preceduta dalla verifica:</w:t>
      </w:r>
    </w:p>
    <w:p w14:paraId="299E5767" w14:textId="77777777" w:rsidR="00A869AE" w:rsidRPr="00A869AE" w:rsidRDefault="00A869AE" w:rsidP="003D0A6C">
      <w:pPr>
        <w:widowControl w:val="0"/>
        <w:numPr>
          <w:ilvl w:val="1"/>
          <w:numId w:val="21"/>
        </w:numPr>
        <w:tabs>
          <w:tab w:val="left" w:pos="284"/>
          <w:tab w:val="left" w:pos="953"/>
        </w:tabs>
        <w:autoSpaceDE w:val="0"/>
        <w:autoSpaceDN w:val="0"/>
        <w:spacing w:before="39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della regolarità contributiva (DURC) e fiscale,</w:t>
      </w:r>
    </w:p>
    <w:p w14:paraId="3A8BCB75" w14:textId="0D024208" w:rsidR="00A869AE" w:rsidRPr="00A869AE" w:rsidRDefault="00A869AE" w:rsidP="003D0A6C">
      <w:pPr>
        <w:widowControl w:val="0"/>
        <w:numPr>
          <w:ilvl w:val="1"/>
          <w:numId w:val="21"/>
        </w:numPr>
        <w:tabs>
          <w:tab w:val="left" w:pos="284"/>
          <w:tab w:val="left" w:pos="953"/>
        </w:tabs>
        <w:autoSpaceDE w:val="0"/>
        <w:autoSpaceDN w:val="0"/>
        <w:spacing w:before="42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lastRenderedPageBreak/>
        <w:t>del rispetto della normativa antimafia</w:t>
      </w:r>
      <w:r w:rsidR="0018726D">
        <w:rPr>
          <w:rFonts w:ascii="Times New Roman" w:hAnsi="Times New Roman"/>
          <w:sz w:val="24"/>
          <w:szCs w:val="24"/>
        </w:rPr>
        <w:t>.</w:t>
      </w:r>
    </w:p>
    <w:p w14:paraId="20091475" w14:textId="2AABE507" w:rsidR="00A869AE" w:rsidRPr="00A869AE" w:rsidRDefault="00A869AE" w:rsidP="003D0A6C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24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La verifica di tali requisiti viene effettuata dallo </w:t>
      </w:r>
      <w:proofErr w:type="spellStart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Spoke</w:t>
      </w:r>
      <w:proofErr w:type="spellEnd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 tramite il R</w:t>
      </w:r>
      <w:r w:rsidR="0018726D">
        <w:rPr>
          <w:rFonts w:ascii="Times New Roman" w:eastAsia="Times New Roman" w:hAnsi="Times New Roman"/>
          <w:sz w:val="24"/>
          <w:szCs w:val="24"/>
          <w:lang w:eastAsia="it-IT"/>
        </w:rPr>
        <w:t xml:space="preserve">esponsabile del </w:t>
      </w: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18726D">
        <w:rPr>
          <w:rFonts w:ascii="Times New Roman" w:eastAsia="Times New Roman" w:hAnsi="Times New Roman"/>
          <w:sz w:val="24"/>
          <w:szCs w:val="24"/>
          <w:lang w:eastAsia="it-IT"/>
        </w:rPr>
        <w:t>rocedimento.</w:t>
      </w:r>
    </w:p>
    <w:p w14:paraId="176294E3" w14:textId="77777777" w:rsidR="00A869AE" w:rsidRPr="00A869AE" w:rsidRDefault="00A869AE" w:rsidP="003D0A6C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240" w:after="0" w:line="276" w:lineRule="auto"/>
        <w:ind w:right="113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In caso di DURC irregolare o di carichi fiscali pendenti, lo </w:t>
      </w:r>
      <w:proofErr w:type="spellStart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>Spoke</w:t>
      </w:r>
      <w:proofErr w:type="spellEnd"/>
      <w:r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 sospende il pagamento in attesa della regolarizzazione.</w:t>
      </w:r>
    </w:p>
    <w:p w14:paraId="3BF68DC6" w14:textId="67D865DA" w:rsidR="00A869AE" w:rsidRPr="00A869AE" w:rsidRDefault="00473102" w:rsidP="003D0A6C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240" w:after="0" w:line="276" w:lineRule="auto"/>
        <w:ind w:right="11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A869AE"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In caso di informazione antimafia irregolare, lo </w:t>
      </w:r>
      <w:proofErr w:type="spellStart"/>
      <w:r w:rsidR="00A869AE" w:rsidRPr="00A869AE">
        <w:rPr>
          <w:rFonts w:ascii="Times New Roman" w:eastAsia="Times New Roman" w:hAnsi="Times New Roman"/>
          <w:sz w:val="24"/>
          <w:szCs w:val="24"/>
          <w:lang w:eastAsia="it-IT"/>
        </w:rPr>
        <w:t>Spoke</w:t>
      </w:r>
      <w:proofErr w:type="spellEnd"/>
      <w:r w:rsidR="00A869AE"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 avvierà il procedimento di revoca del contributo concesso e provvederà quindi al recupero degli aiuti nel frattempo già eventualmente erogati.</w:t>
      </w:r>
    </w:p>
    <w:p w14:paraId="17223C14" w14:textId="664B3171" w:rsidR="00A869AE" w:rsidRDefault="00473102" w:rsidP="002E01B2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240" w:after="0" w:line="276" w:lineRule="auto"/>
        <w:ind w:right="11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A869AE"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Nel caso di esito favorevole dei controlli sopra indicati lo </w:t>
      </w:r>
      <w:proofErr w:type="spellStart"/>
      <w:r w:rsidR="00A869AE" w:rsidRPr="00A869AE">
        <w:rPr>
          <w:rFonts w:ascii="Times New Roman" w:eastAsia="Times New Roman" w:hAnsi="Times New Roman"/>
          <w:sz w:val="24"/>
          <w:szCs w:val="24"/>
          <w:lang w:eastAsia="it-IT"/>
        </w:rPr>
        <w:t>Spoke</w:t>
      </w:r>
      <w:proofErr w:type="spellEnd"/>
      <w:r w:rsidR="00A869AE" w:rsidRPr="00A869AE">
        <w:rPr>
          <w:rFonts w:ascii="Times New Roman" w:eastAsia="Times New Roman" w:hAnsi="Times New Roman"/>
          <w:sz w:val="24"/>
          <w:szCs w:val="24"/>
          <w:lang w:eastAsia="it-IT"/>
        </w:rPr>
        <w:t xml:space="preserve"> si impegna a trasferire i finanziamenti di competenza ai soggetti beneficiari dopo aver effettivamente ricevuto l’erogazione dall’Hub ed entro 20 gg dal suo provvedimento di approvazione dell’erogazione del contributo in esito ai suddetti controlli.</w:t>
      </w:r>
    </w:p>
    <w:p w14:paraId="4709196B" w14:textId="77777777" w:rsidR="002E01B2" w:rsidRPr="002E01B2" w:rsidRDefault="002E01B2" w:rsidP="002E01B2">
      <w:pPr>
        <w:widowControl w:val="0"/>
        <w:tabs>
          <w:tab w:val="left" w:pos="284"/>
        </w:tabs>
        <w:autoSpaceDE w:val="0"/>
        <w:autoSpaceDN w:val="0"/>
        <w:spacing w:before="240" w:after="0" w:line="276" w:lineRule="auto"/>
        <w:ind w:left="361" w:right="11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7677FA5" w14:textId="77777777" w:rsidR="00A869AE" w:rsidRPr="00A869AE" w:rsidRDefault="00A869AE" w:rsidP="00A869AE">
      <w:pPr>
        <w:spacing w:before="42"/>
        <w:ind w:left="3668"/>
        <w:jc w:val="both"/>
        <w:rPr>
          <w:rFonts w:ascii="Times New Roman" w:hAnsi="Times New Roman" w:cs="Times New Roman"/>
          <w:b/>
          <w:sz w:val="24"/>
        </w:rPr>
      </w:pPr>
      <w:r w:rsidRPr="00A869AE">
        <w:rPr>
          <w:rFonts w:ascii="Times New Roman" w:hAnsi="Times New Roman" w:cs="Times New Roman"/>
          <w:b/>
          <w:sz w:val="24"/>
        </w:rPr>
        <w:t>Articolo 5 Risorse e Anticipazione</w:t>
      </w:r>
    </w:p>
    <w:p w14:paraId="78988F24" w14:textId="77777777" w:rsidR="00A869AE" w:rsidRPr="00A869AE" w:rsidRDefault="00A869AE" w:rsidP="00A869AE">
      <w:pPr>
        <w:widowControl w:val="0"/>
        <w:tabs>
          <w:tab w:val="left" w:pos="8193"/>
          <w:tab w:val="left" w:pos="9488"/>
        </w:tabs>
        <w:autoSpaceDE w:val="0"/>
        <w:autoSpaceDN w:val="0"/>
        <w:spacing w:before="42" w:after="0" w:line="276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>L’eventuale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disimpegno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delle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risorse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A869A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Piano,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previsto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dall’articolo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A869A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del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Reg.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2021/241</w:t>
      </w:r>
      <w:r w:rsidRPr="00A869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dall’articolo 8 della legge n. 77 del 31/05/2021, come modificato dalla legge di conversione 29 luglio 2021, n. 108, comporta la riduzione o revoca delle risorse relative ai progetti che non hanno raggiunto gli obiettivi previsti. </w:t>
      </w:r>
    </w:p>
    <w:p w14:paraId="0FB84CBF" w14:textId="56A1898F" w:rsidR="00A869AE" w:rsidRPr="002E01B2" w:rsidRDefault="00A869AE" w:rsidP="00A869AE">
      <w:pPr>
        <w:widowControl w:val="0"/>
        <w:tabs>
          <w:tab w:val="left" w:pos="8193"/>
          <w:tab w:val="left" w:pos="9488"/>
        </w:tabs>
        <w:autoSpaceDE w:val="0"/>
        <w:autoSpaceDN w:val="0"/>
        <w:spacing w:before="42" w:after="0" w:line="276" w:lineRule="auto"/>
        <w:ind w:lef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Nel caso in cui il Beneficiario chieda per </w:t>
      </w:r>
      <w:proofErr w:type="spellStart"/>
      <w:r w:rsidRPr="002E01B2">
        <w:rPr>
          <w:rFonts w:ascii="Times New Roman" w:eastAsia="Times New Roman" w:hAnsi="Times New Roman" w:cs="Times New Roman"/>
          <w:sz w:val="24"/>
          <w:szCs w:val="24"/>
        </w:rPr>
        <w:t>pec</w:t>
      </w:r>
      <w:proofErr w:type="spellEnd"/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 allo </w:t>
      </w:r>
      <w:proofErr w:type="spellStart"/>
      <w:r w:rsidRPr="002E01B2">
        <w:rPr>
          <w:rFonts w:ascii="Times New Roman" w:eastAsia="Times New Roman" w:hAnsi="Times New Roman" w:cs="Times New Roman"/>
          <w:sz w:val="24"/>
          <w:szCs w:val="24"/>
        </w:rPr>
        <w:t>Spoke</w:t>
      </w:r>
      <w:proofErr w:type="spellEnd"/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 un anticipo del finanziamento concesso, lo </w:t>
      </w:r>
      <w:proofErr w:type="spellStart"/>
      <w:r w:rsidRPr="002E01B2">
        <w:rPr>
          <w:rFonts w:ascii="Times New Roman" w:eastAsia="Times New Roman" w:hAnsi="Times New Roman" w:cs="Times New Roman"/>
          <w:sz w:val="24"/>
          <w:szCs w:val="24"/>
        </w:rPr>
        <w:t>Spoke</w:t>
      </w:r>
      <w:proofErr w:type="spellEnd"/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 si impegna ad erogare l’anticipo nella misura del 10%. In tal caso lo </w:t>
      </w:r>
      <w:proofErr w:type="spellStart"/>
      <w:r w:rsidRPr="002E01B2">
        <w:rPr>
          <w:rFonts w:ascii="Times New Roman" w:eastAsia="Times New Roman" w:hAnsi="Times New Roman" w:cs="Times New Roman"/>
          <w:sz w:val="24"/>
          <w:szCs w:val="24"/>
        </w:rPr>
        <w:t>Spoke</w:t>
      </w:r>
      <w:proofErr w:type="spellEnd"/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 richiede le garanzie e l’anticipazione è subordinata alla produzione e al mantenimento di fidejussione bancaria o assicurativa a beneficio dello </w:t>
      </w:r>
      <w:proofErr w:type="spellStart"/>
      <w:r w:rsidRPr="002E01B2">
        <w:rPr>
          <w:rFonts w:ascii="Times New Roman" w:eastAsia="Times New Roman" w:hAnsi="Times New Roman" w:cs="Times New Roman"/>
          <w:sz w:val="24"/>
          <w:szCs w:val="24"/>
        </w:rPr>
        <w:t>Spoke</w:t>
      </w:r>
      <w:proofErr w:type="spellEnd"/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 rilasciata da primari Istituti di finanziari e di credito iscritti all’albo ex art. 106 D.lgs. n. 385/1993, parametrata sulla base dell’importo complessivo del progetto, autonoma, irrevocabile, incondizionata, escutibile a prima richiesta e con validità pari alla durata prevista del progetto. La fidejussione sarà svincolata, previa richiesta scritta a</w:t>
      </w:r>
      <w:r w:rsidR="00281FAD" w:rsidRPr="002E0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01B2">
        <w:rPr>
          <w:rFonts w:ascii="Times New Roman" w:eastAsia="Times New Roman" w:hAnsi="Times New Roman" w:cs="Times New Roman"/>
          <w:sz w:val="24"/>
          <w:szCs w:val="24"/>
        </w:rPr>
        <w:t xml:space="preserve">mezzo </w:t>
      </w:r>
      <w:proofErr w:type="spellStart"/>
      <w:r w:rsidRPr="002E01B2">
        <w:rPr>
          <w:rFonts w:ascii="Times New Roman" w:eastAsia="Times New Roman" w:hAnsi="Times New Roman" w:cs="Times New Roman"/>
          <w:sz w:val="24"/>
          <w:szCs w:val="24"/>
        </w:rPr>
        <w:t>pec</w:t>
      </w:r>
      <w:proofErr w:type="spellEnd"/>
      <w:r w:rsidRPr="002E01B2">
        <w:rPr>
          <w:rFonts w:ascii="Times New Roman" w:eastAsia="Times New Roman" w:hAnsi="Times New Roman" w:cs="Times New Roman"/>
          <w:sz w:val="24"/>
          <w:szCs w:val="24"/>
        </w:rPr>
        <w:t>, alla conclusione del progetto di ricerca.</w:t>
      </w:r>
    </w:p>
    <w:p w14:paraId="2C64E7D2" w14:textId="6A1C135E" w:rsidR="00A869AE" w:rsidRPr="00B06A43" w:rsidRDefault="00A869AE" w:rsidP="00A869AE">
      <w:pPr>
        <w:keepNext/>
        <w:tabs>
          <w:tab w:val="left" w:pos="284"/>
        </w:tabs>
        <w:spacing w:before="480" w:after="0" w:line="276" w:lineRule="auto"/>
        <w:ind w:right="57"/>
        <w:jc w:val="center"/>
        <w:rPr>
          <w:rFonts w:ascii="Times New Roman" w:hAnsi="Times New Roman" w:cs="Times New Roman"/>
          <w:b/>
          <w:sz w:val="24"/>
        </w:rPr>
      </w:pPr>
      <w:r w:rsidRPr="002E01B2">
        <w:rPr>
          <w:rFonts w:ascii="Times New Roman" w:hAnsi="Times New Roman" w:cs="Times New Roman"/>
          <w:b/>
          <w:sz w:val="24"/>
        </w:rPr>
        <w:t>Articolo</w:t>
      </w:r>
      <w:r w:rsidRPr="00B06A43">
        <w:rPr>
          <w:rFonts w:ascii="Times New Roman" w:hAnsi="Times New Roman" w:cs="Times New Roman"/>
          <w:b/>
          <w:sz w:val="24"/>
        </w:rPr>
        <w:t xml:space="preserve"> 6 Proroghe e variazioni</w:t>
      </w:r>
    </w:p>
    <w:p w14:paraId="361E321D" w14:textId="77777777" w:rsidR="00A869AE" w:rsidRPr="00A869AE" w:rsidRDefault="00A869AE" w:rsidP="003D0A6C">
      <w:pPr>
        <w:keepNext/>
        <w:keepLines/>
        <w:numPr>
          <w:ilvl w:val="0"/>
          <w:numId w:val="22"/>
        </w:numPr>
        <w:tabs>
          <w:tab w:val="left" w:pos="284"/>
        </w:tabs>
        <w:spacing w:before="240" w:after="0" w:line="276" w:lineRule="auto"/>
        <w:jc w:val="both"/>
        <w:outlineLvl w:val="3"/>
        <w:rPr>
          <w:rFonts w:ascii="Times New Roman" w:hAnsi="Times New Roman"/>
          <w:sz w:val="24"/>
          <w:szCs w:val="24"/>
          <w:lang w:eastAsia="it-IT"/>
        </w:rPr>
      </w:pPr>
      <w:r w:rsidRPr="00A869AE">
        <w:rPr>
          <w:rFonts w:ascii="Times New Roman" w:hAnsi="Times New Roman"/>
          <w:sz w:val="24"/>
          <w:szCs w:val="24"/>
          <w:lang w:eastAsia="it-IT"/>
        </w:rPr>
        <w:t>Varianti in fase di valutazione: Tra la data di presentazione della domanda di finanziamento e la data di concessione del contributo, non saranno ammissibili variazioni relative alla composizione della partnership o alle attività progettuali</w:t>
      </w:r>
    </w:p>
    <w:p w14:paraId="3F755FAC" w14:textId="77777777" w:rsidR="00A869AE" w:rsidRPr="00A869AE" w:rsidRDefault="00A869AE" w:rsidP="003D0A6C">
      <w:pPr>
        <w:keepNext/>
        <w:keepLines/>
        <w:numPr>
          <w:ilvl w:val="0"/>
          <w:numId w:val="22"/>
        </w:numPr>
        <w:tabs>
          <w:tab w:val="left" w:pos="284"/>
        </w:tabs>
        <w:spacing w:before="240" w:after="0" w:line="276" w:lineRule="auto"/>
        <w:jc w:val="both"/>
        <w:outlineLvl w:val="3"/>
        <w:rPr>
          <w:rFonts w:ascii="Times New Roman" w:hAnsi="Times New Roman"/>
          <w:sz w:val="24"/>
          <w:szCs w:val="24"/>
          <w:lang w:eastAsia="it-IT"/>
        </w:rPr>
      </w:pPr>
      <w:r w:rsidRPr="00A869AE">
        <w:rPr>
          <w:rFonts w:ascii="Times New Roman" w:hAnsi="Times New Roman"/>
          <w:sz w:val="24"/>
          <w:szCs w:val="24"/>
          <w:lang w:eastAsia="it-IT"/>
        </w:rPr>
        <w:t>Varianti in corso d’opera</w:t>
      </w:r>
    </w:p>
    <w:p w14:paraId="14E41ADC" w14:textId="77777777" w:rsidR="00A869AE" w:rsidRPr="00A869AE" w:rsidRDefault="00A869AE" w:rsidP="00A869AE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Sono riconosciute quali:</w:t>
      </w:r>
    </w:p>
    <w:p w14:paraId="0DE72771" w14:textId="77777777" w:rsidR="00A869AE" w:rsidRPr="00A869AE" w:rsidRDefault="00A869AE" w:rsidP="003D0A6C">
      <w:pPr>
        <w:numPr>
          <w:ilvl w:val="1"/>
          <w:numId w:val="23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lastRenderedPageBreak/>
        <w:t xml:space="preserve">variazioni soggettive: sono consentite solo nelle ipotesi di operazioni societarie straordinarie dei soggetti proponenti (es. fusioni e/o incorporazioni) </w:t>
      </w:r>
    </w:p>
    <w:p w14:paraId="77E0D265" w14:textId="77777777" w:rsidR="00A869AE" w:rsidRPr="00A869AE" w:rsidRDefault="00A869AE" w:rsidP="003D0A6C">
      <w:pPr>
        <w:numPr>
          <w:ilvl w:val="1"/>
          <w:numId w:val="23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variazioni oggettive, riguardanti la durata, il piano dei costi e delle attività del progetto approvato sono ammissibili previa tempestiva e obbligatoria comunicazione a UNINA per poter essere sottoposte alla necessaria e conseguente valutazione e approvazione da parte di UNINA</w:t>
      </w:r>
    </w:p>
    <w:p w14:paraId="06F45D50" w14:textId="77777777" w:rsidR="00A869AE" w:rsidRPr="00A869AE" w:rsidRDefault="00A869AE" w:rsidP="00A869AE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ab/>
        <w:t>In particolare:</w:t>
      </w:r>
    </w:p>
    <w:p w14:paraId="67AC79D6" w14:textId="77777777" w:rsidR="00A869AE" w:rsidRPr="00A869AE" w:rsidRDefault="00A869AE" w:rsidP="003D0A6C">
      <w:pPr>
        <w:numPr>
          <w:ilvl w:val="1"/>
          <w:numId w:val="22"/>
        </w:numPr>
        <w:spacing w:after="0" w:line="276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Variazioni tecnico-economiche: I singoli beneficiari possono apportare, di norma una sola volta, variazioni tecniche e/o economiche alle proprie attività finanziate a condizione che: siano presentate solo ed esclusivamente per il tramite del soggetto Capofila; richiedano e ottengano la preventiva approvazione dal parte dello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>; permanga la compatibilità del progetto con quanto previsto dal Bando; non comportino una variazione sostanziale rispetto agli obiettivi, risultati e impatti del progetto iniziale; non comportino un aumento delle agevolazioni concesse; non siano presentate negli ultimi 2 mesi di durata del progetto.</w:t>
      </w:r>
    </w:p>
    <w:p w14:paraId="5ECAF449" w14:textId="77777777" w:rsidR="00A869AE" w:rsidRPr="00A869AE" w:rsidRDefault="00A869AE" w:rsidP="003D0A6C">
      <w:pPr>
        <w:keepNext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spacing w:before="217" w:after="0" w:line="276" w:lineRule="auto"/>
        <w:ind w:left="567" w:right="680" w:hanging="284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Proroghe. Le eventuali richieste di variazione di tempistiche del progetto, presentate solo ed esclusivamente per il tramite del soggetto Capofila e adeguatamente motivate, dovranno essere notificate allo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>, prima della scadenza originariamente fissata. Potranno essere valutate e concesse proroghe in presenza di ritardi dovuti a circostanze eccezionali e non dipendenti da scelte del partner beneficiario. Sarà possibile ottenere una sola proroga di massimo 3 mesi, purché i lavori vengano conclusi e rendicontati nel termine del 31/10/2025.</w:t>
      </w:r>
    </w:p>
    <w:p w14:paraId="2B0A83CA" w14:textId="18FAEF97" w:rsidR="00A869AE" w:rsidRPr="00147FE7" w:rsidRDefault="00A869AE" w:rsidP="00A869AE">
      <w:pPr>
        <w:keepNext/>
        <w:widowControl w:val="0"/>
        <w:tabs>
          <w:tab w:val="left" w:pos="284"/>
        </w:tabs>
        <w:autoSpaceDE w:val="0"/>
        <w:autoSpaceDN w:val="0"/>
        <w:spacing w:before="217" w:after="0" w:line="276" w:lineRule="auto"/>
        <w:ind w:left="567" w:right="680"/>
        <w:jc w:val="center"/>
        <w:rPr>
          <w:rFonts w:ascii="Times New Roman" w:hAnsi="Times New Roman" w:cs="Times New Roman"/>
          <w:b/>
          <w:sz w:val="24"/>
        </w:rPr>
      </w:pPr>
      <w:r w:rsidRPr="00147FE7">
        <w:rPr>
          <w:rFonts w:ascii="Times New Roman" w:hAnsi="Times New Roman" w:cs="Times New Roman"/>
          <w:b/>
          <w:sz w:val="24"/>
        </w:rPr>
        <w:t>Articolo 7 Meccanismi sanzionatori</w:t>
      </w:r>
    </w:p>
    <w:p w14:paraId="4D6EAC1B" w14:textId="77777777" w:rsidR="00A869AE" w:rsidRPr="00A869AE" w:rsidRDefault="00A869AE" w:rsidP="003D0A6C">
      <w:pPr>
        <w:widowControl w:val="0"/>
        <w:numPr>
          <w:ilvl w:val="0"/>
          <w:numId w:val="18"/>
        </w:numPr>
        <w:tabs>
          <w:tab w:val="left" w:pos="284"/>
          <w:tab w:val="left" w:pos="834"/>
        </w:tabs>
        <w:autoSpaceDE w:val="0"/>
        <w:autoSpaceDN w:val="0"/>
        <w:spacing w:before="240"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Le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agevolazioni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possono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essere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revocate,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tutto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parte:</w:t>
      </w:r>
    </w:p>
    <w:p w14:paraId="29CD6BD7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right="348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nei casi espressamente previsti dall’Avviso MUR n.341 del 15/03/2022</w:t>
      </w:r>
    </w:p>
    <w:p w14:paraId="48AEDD63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right="345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difforme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esecuzione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Progetto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ricerca finanziato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ovvero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 xml:space="preserve">mancato raggiungimento, nei tempi assegnati, delle </w:t>
      </w:r>
      <w:r w:rsidRPr="00A869AE">
        <w:rPr>
          <w:rFonts w:ascii="Times New Roman" w:hAnsi="Times New Roman"/>
          <w:i/>
          <w:iCs/>
          <w:sz w:val="24"/>
          <w:szCs w:val="24"/>
        </w:rPr>
        <w:t xml:space="preserve">milestone </w:t>
      </w:r>
      <w:r w:rsidRPr="00A869AE">
        <w:rPr>
          <w:rFonts w:ascii="Times New Roman" w:hAnsi="Times New Roman"/>
          <w:sz w:val="24"/>
          <w:szCs w:val="24"/>
        </w:rPr>
        <w:t xml:space="preserve">e ai </w:t>
      </w:r>
      <w:r w:rsidRPr="00A869AE">
        <w:rPr>
          <w:rFonts w:ascii="Times New Roman" w:hAnsi="Times New Roman"/>
          <w:i/>
          <w:iCs/>
          <w:sz w:val="24"/>
          <w:szCs w:val="24"/>
        </w:rPr>
        <w:t>target</w:t>
      </w:r>
      <w:r w:rsidRPr="00A869AE">
        <w:rPr>
          <w:rFonts w:ascii="Times New Roman" w:hAnsi="Times New Roman"/>
          <w:sz w:val="24"/>
          <w:szCs w:val="24"/>
        </w:rPr>
        <w:t>, intermedi e</w:t>
      </w:r>
      <w:r w:rsidRPr="00A869A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finali,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associati al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Programma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ricerca 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innovazione;</w:t>
      </w:r>
    </w:p>
    <w:p w14:paraId="77700756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caso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mancato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rispetto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degli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obblighi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capo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ai beneficiari;</w:t>
      </w:r>
    </w:p>
    <w:p w14:paraId="1FD66F6C" w14:textId="07E8DABC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right="353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caso</w:t>
      </w:r>
      <w:r w:rsidRPr="00A869A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accertamento</w:t>
      </w:r>
      <w:r w:rsidRPr="00A869A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doppio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finanziamento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pubblico</w:t>
      </w:r>
      <w:r w:rsidRPr="00A869A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degli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interventi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previsti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dal</w:t>
      </w:r>
      <w:r w:rsidRPr="00A869AE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Programma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 ricerca</w:t>
      </w:r>
      <w:r w:rsidRPr="00A869A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innovazione</w:t>
      </w:r>
      <w:r w:rsidR="009B309C">
        <w:rPr>
          <w:rFonts w:ascii="Times New Roman" w:hAnsi="Times New Roman"/>
          <w:sz w:val="24"/>
          <w:szCs w:val="24"/>
        </w:rPr>
        <w:t>;</w:t>
      </w:r>
    </w:p>
    <w:p w14:paraId="007D3B69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caso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accertamento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casi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conflitto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interessi,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corruzione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frode;</w:t>
      </w:r>
    </w:p>
    <w:p w14:paraId="5F5CCEF5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right="349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 caso di accertamento della violazione dei principi generali di DNSH e dei principi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pacing w:val="-1"/>
          <w:sz w:val="24"/>
          <w:szCs w:val="24"/>
        </w:rPr>
        <w:t>trasversali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pacing w:val="-1"/>
          <w:sz w:val="24"/>
          <w:szCs w:val="24"/>
        </w:rPr>
        <w:t>previsti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dal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PNRR,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quali,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tra</w:t>
      </w:r>
      <w:r w:rsidRPr="00A869A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gli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altri,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il</w:t>
      </w:r>
      <w:r w:rsidRPr="00A869A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principio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contributo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all’obiettivo</w:t>
      </w:r>
      <w:r w:rsidRPr="00A869AE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climatico e digitale (c.d. tagging), il principio di parità di genere e l’obbligo di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protezione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valorizzazione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dei</w:t>
      </w:r>
      <w:r w:rsidRPr="00A869A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giovani;</w:t>
      </w:r>
    </w:p>
    <w:p w14:paraId="067C8678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caso</w:t>
      </w:r>
      <w:r w:rsidRPr="00A869A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mancato</w:t>
      </w:r>
      <w:r w:rsidRPr="00A869A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conseguimento</w:t>
      </w:r>
      <w:r w:rsidRPr="00A869A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</w:t>
      </w:r>
      <w:r w:rsidRPr="00A869A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perdita</w:t>
      </w:r>
      <w:r w:rsidRPr="00A869A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sopravvenuta</w:t>
      </w:r>
      <w:r w:rsidRPr="00A869AE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dei</w:t>
      </w:r>
      <w:r w:rsidRPr="00A869A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criteri</w:t>
      </w:r>
      <w:r w:rsidRPr="00A869A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ammissibilità di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cui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all’articolo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8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presente Avviso;</w:t>
      </w:r>
    </w:p>
    <w:p w14:paraId="723F5307" w14:textId="77777777" w:rsidR="00A869AE" w:rsidRPr="00A869AE" w:rsidRDefault="00A869AE" w:rsidP="003D0A6C">
      <w:pPr>
        <w:widowControl w:val="0"/>
        <w:numPr>
          <w:ilvl w:val="1"/>
          <w:numId w:val="18"/>
        </w:numPr>
        <w:tabs>
          <w:tab w:val="left" w:pos="284"/>
          <w:tab w:val="left" w:pos="1561"/>
        </w:tabs>
        <w:autoSpaceDE w:val="0"/>
        <w:autoSpaceDN w:val="0"/>
        <w:spacing w:before="60" w:after="0" w:line="276" w:lineRule="auto"/>
        <w:ind w:left="284" w:right="350" w:hanging="284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tutti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gli</w:t>
      </w:r>
      <w:r w:rsidRPr="00A869A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altri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casi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inadempienza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degli</w:t>
      </w:r>
      <w:r w:rsidRPr="00A869A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obblighi</w:t>
      </w:r>
      <w:r w:rsidRPr="00A869A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assunti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qualsiasi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delle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ulteriori</w:t>
      </w:r>
      <w:r w:rsidRPr="00A869AE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previsioni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lastRenderedPageBreak/>
        <w:t>stabilite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dai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regolamenti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comunitari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nazionali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riferimento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per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l’attuazione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PNRR.</w:t>
      </w:r>
    </w:p>
    <w:p w14:paraId="02611E8B" w14:textId="77777777" w:rsidR="00A869AE" w:rsidRPr="00A869AE" w:rsidRDefault="00A869AE" w:rsidP="003D0A6C">
      <w:pPr>
        <w:widowControl w:val="0"/>
        <w:numPr>
          <w:ilvl w:val="0"/>
          <w:numId w:val="18"/>
        </w:numPr>
        <w:tabs>
          <w:tab w:val="left" w:pos="284"/>
          <w:tab w:val="left" w:pos="834"/>
        </w:tabs>
        <w:autoSpaceDE w:val="0"/>
        <w:autoSpaceDN w:val="0"/>
        <w:spacing w:before="240" w:after="0" w:line="276" w:lineRule="auto"/>
        <w:ind w:left="0" w:right="352" w:firstLine="0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In caso di revoca totale del finanziamento, il MUR, per il tramite di Hub e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di riferimento, procede con il disimpegno dei relativi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importi e il recupero delle eventuali somme già erogate, maggiorate degli interessi dovuti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previsti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per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legge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nell’Atto d’Obbligo.</w:t>
      </w:r>
    </w:p>
    <w:p w14:paraId="62DD7CA8" w14:textId="77777777" w:rsidR="00A869AE" w:rsidRPr="00A869AE" w:rsidRDefault="00A869AE" w:rsidP="003D0A6C">
      <w:pPr>
        <w:widowControl w:val="0"/>
        <w:numPr>
          <w:ilvl w:val="0"/>
          <w:numId w:val="18"/>
        </w:numPr>
        <w:tabs>
          <w:tab w:val="left" w:pos="284"/>
          <w:tab w:val="left" w:pos="841"/>
        </w:tabs>
        <w:autoSpaceDE w:val="0"/>
        <w:autoSpaceDN w:val="0"/>
        <w:spacing w:before="240" w:after="0" w:line="276" w:lineRule="auto"/>
        <w:ind w:left="0" w:right="348" w:firstLine="0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In caso di revoca parziale, il MUR dispone la valutazione circa lo stato di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avanzamento</w:t>
      </w:r>
      <w:r w:rsidRPr="00A869A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</w:t>
      </w:r>
      <w:r w:rsidRPr="00A869A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livello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raggiungimento</w:t>
      </w:r>
      <w:r w:rsidRPr="00A869A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degli</w:t>
      </w:r>
      <w:r w:rsidRPr="00A869A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obiettivi</w:t>
      </w:r>
      <w:r w:rsidRPr="00A869A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della</w:t>
      </w:r>
      <w:r w:rsidRPr="00A869A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autonoma</w:t>
      </w:r>
      <w:r w:rsidRPr="00A869AE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funzionalità</w:t>
      </w:r>
      <w:r w:rsidRPr="00A869AE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della</w:t>
      </w:r>
      <w:r w:rsidRPr="00A869AE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parte</w:t>
      </w:r>
      <w:r w:rsidRPr="00A869AE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correttamente</w:t>
      </w:r>
      <w:r w:rsidRPr="00A869A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realizzata.</w:t>
      </w:r>
      <w:r w:rsidRPr="00A869A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Sulla</w:t>
      </w:r>
      <w:r w:rsidRPr="00A869A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base</w:t>
      </w:r>
      <w:r w:rsidRPr="00A869A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degli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esiti,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il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MUR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determina</w:t>
      </w:r>
      <w:r w:rsidRPr="00A869AE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gli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importi</w:t>
      </w:r>
      <w:r w:rsidRPr="00A869AE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da</w:t>
      </w:r>
      <w:r w:rsidRPr="00A869AE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revocare</w:t>
      </w:r>
      <w:r w:rsidRPr="00A869AE">
        <w:rPr>
          <w:rFonts w:ascii="Times New Roman" w:hAnsi="Times New Roman"/>
          <w:spacing w:val="-57"/>
          <w:sz w:val="24"/>
          <w:szCs w:val="24"/>
        </w:rPr>
        <w:t xml:space="preserve">   </w:t>
      </w:r>
      <w:r w:rsidRPr="00A869AE">
        <w:rPr>
          <w:rFonts w:ascii="Times New Roman" w:hAnsi="Times New Roman"/>
          <w:sz w:val="24"/>
          <w:szCs w:val="24"/>
        </w:rPr>
        <w:t>e disimpegnare, le somme da riconoscere ai soggetti attuatori, le erogazioni da effettuare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ovvero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gli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importi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per</w:t>
      </w:r>
      <w:r w:rsidRPr="00A869A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</w:t>
      </w:r>
      <w:r w:rsidRPr="00A869A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quali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disporre</w:t>
      </w:r>
      <w:r w:rsidRPr="00A869A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il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recupero,</w:t>
      </w:r>
      <w:r w:rsidRPr="00A869A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maggiorati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degli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interessi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previsti</w:t>
      </w:r>
      <w:r w:rsidRPr="00A869A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per</w:t>
      </w:r>
      <w:r w:rsidRPr="00A869AE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legge</w:t>
      </w:r>
      <w:r w:rsidRPr="00A869A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nell’Atto d’Obbligo.</w:t>
      </w:r>
    </w:p>
    <w:p w14:paraId="7914398C" w14:textId="76978847" w:rsidR="00A91767" w:rsidRPr="00A91767" w:rsidRDefault="00A869AE" w:rsidP="003D0A6C">
      <w:pPr>
        <w:widowControl w:val="0"/>
        <w:numPr>
          <w:ilvl w:val="0"/>
          <w:numId w:val="18"/>
        </w:numPr>
        <w:tabs>
          <w:tab w:val="left" w:pos="284"/>
          <w:tab w:val="left" w:pos="841"/>
        </w:tabs>
        <w:autoSpaceDE w:val="0"/>
        <w:autoSpaceDN w:val="0"/>
        <w:spacing w:before="240" w:after="0" w:line="276" w:lineRule="auto"/>
        <w:ind w:left="0" w:right="349" w:firstLine="0"/>
        <w:jc w:val="both"/>
        <w:rPr>
          <w:rFonts w:ascii="Times New Roman" w:hAnsi="Times New Roman"/>
          <w:iCs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Sono applicate, ove pertinenti, le disposizioni procedurali di cui all’articolo 17 del Decreto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Ministeriale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n. 1314 del 14 dicembre</w:t>
      </w:r>
      <w:r w:rsidRPr="00A869A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2021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A869AE">
        <w:rPr>
          <w:rFonts w:ascii="Times New Roman" w:hAnsi="Times New Roman"/>
          <w:i/>
          <w:sz w:val="24"/>
          <w:szCs w:val="24"/>
        </w:rPr>
        <w:t>ss.mm.ii</w:t>
      </w:r>
      <w:proofErr w:type="spellEnd"/>
      <w:r w:rsidRPr="00A869AE">
        <w:rPr>
          <w:rFonts w:ascii="Times New Roman" w:hAnsi="Times New Roman"/>
          <w:i/>
          <w:sz w:val="24"/>
          <w:szCs w:val="24"/>
        </w:rPr>
        <w:t>.</w:t>
      </w:r>
    </w:p>
    <w:p w14:paraId="4790E3F3" w14:textId="4D67010D" w:rsidR="00A869AE" w:rsidRPr="00A91767" w:rsidRDefault="00A869AE" w:rsidP="00A91767">
      <w:pPr>
        <w:keepNext/>
        <w:widowControl w:val="0"/>
        <w:tabs>
          <w:tab w:val="left" w:pos="284"/>
        </w:tabs>
        <w:autoSpaceDE w:val="0"/>
        <w:autoSpaceDN w:val="0"/>
        <w:spacing w:before="217" w:after="0" w:line="276" w:lineRule="auto"/>
        <w:ind w:left="567" w:right="680"/>
        <w:jc w:val="center"/>
        <w:rPr>
          <w:rFonts w:ascii="Times New Roman" w:hAnsi="Times New Roman" w:cs="Times New Roman"/>
          <w:b/>
          <w:sz w:val="24"/>
        </w:rPr>
      </w:pPr>
      <w:r w:rsidRPr="00A91767">
        <w:rPr>
          <w:rFonts w:ascii="Times New Roman" w:hAnsi="Times New Roman" w:cs="Times New Roman"/>
          <w:b/>
          <w:sz w:val="24"/>
        </w:rPr>
        <w:t>Articolo 8 Rinuncia</w:t>
      </w:r>
    </w:p>
    <w:p w14:paraId="2CA6F37B" w14:textId="6800B4E0" w:rsidR="009A3A55" w:rsidRDefault="00A869AE" w:rsidP="003D0A6C">
      <w:pPr>
        <w:numPr>
          <w:ilvl w:val="0"/>
          <w:numId w:val="24"/>
        </w:num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Nel caso in cui il beneficiario intenda rinunciare alla richiesta di contributo o all’agevolazione concessa, dovrà comunicarlo a UNINA a mezzo PEC all’indirizzo</w:t>
      </w:r>
      <w:r w:rsidR="009A3A55">
        <w:rPr>
          <w:rFonts w:ascii="Times New Roman" w:hAnsi="Times New Roman"/>
          <w:sz w:val="24"/>
          <w:szCs w:val="24"/>
        </w:rPr>
        <w:t>:</w:t>
      </w:r>
      <w:r w:rsidRPr="00A869AE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894A5C" w:rsidRPr="00A30C92">
          <w:rPr>
            <w:rStyle w:val="Collegamentoipertestuale"/>
            <w:rFonts w:ascii="Times New Roman" w:hAnsi="Times New Roman"/>
            <w:sz w:val="24"/>
            <w:szCs w:val="24"/>
          </w:rPr>
          <w:t xml:space="preserve">ateneo@pec.unina.it. </w:t>
        </w:r>
      </w:hyperlink>
    </w:p>
    <w:p w14:paraId="1C85C981" w14:textId="11816907" w:rsidR="00A869AE" w:rsidRPr="00A869AE" w:rsidRDefault="00A869AE" w:rsidP="003D0A6C">
      <w:pPr>
        <w:numPr>
          <w:ilvl w:val="0"/>
          <w:numId w:val="24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Nel caso in cui la rinuncia avvenga dopo la concessione, il beneficiario sarà tenuto alla restituzione dell’importo di agevolazione erogato e non ancora restituito - ove fossero già avvenute erogazioni - oltre agli interessi, secondo quanto stabilito periodicamente dalla Commissione Europea in applicazione della Comunicazione relativa alla revisione del metodo di fissazione dei tassi di riferimento e di attualizzazione 2008/C 14/021, secondo le modalità stabilite all'art. 11 del Regolamento (CE) n. 794 del 21 aprile 2004 della Commissione.</w:t>
      </w:r>
    </w:p>
    <w:p w14:paraId="539026BD" w14:textId="77777777" w:rsidR="00A869AE" w:rsidRPr="00A869AE" w:rsidRDefault="00A869AE" w:rsidP="003D0A6C">
      <w:pPr>
        <w:numPr>
          <w:ilvl w:val="0"/>
          <w:numId w:val="24"/>
        </w:numPr>
        <w:tabs>
          <w:tab w:val="left" w:pos="284"/>
        </w:tabs>
        <w:spacing w:before="240"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Se la rinuncia alla realizzazione del progetto in forma congiunta è presentata dal soggetto Capofila, determina il decadimento dell’intera proposta ammessa.</w:t>
      </w:r>
    </w:p>
    <w:p w14:paraId="5C2B086F" w14:textId="77777777" w:rsidR="00A869AE" w:rsidRPr="00A869AE" w:rsidRDefault="00A869AE" w:rsidP="003D0A6C">
      <w:pPr>
        <w:numPr>
          <w:ilvl w:val="0"/>
          <w:numId w:val="24"/>
        </w:numPr>
        <w:tabs>
          <w:tab w:val="left" w:pos="284"/>
        </w:tabs>
        <w:spacing w:before="240" w:after="0" w:line="276" w:lineRule="auto"/>
        <w:ind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 xml:space="preserve">Qualora la rinuncia provenga da un beneficiario di progetto in forma congiunta può non determinare il decadimento dell’intera proposta ammessa, a condizione che i beneficiari rimanenti dichiarino di volerne assumere le obbligazioni e ridistribuiscano le attività del soggetto uscente dal raggruppamento all’interno della compagine, sempre previa richiesta da presentare allo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per il tramite del Capofila e purché vi sia l’espressa approvazione dello </w:t>
      </w:r>
      <w:proofErr w:type="spellStart"/>
      <w:r w:rsidRPr="00A869AE">
        <w:rPr>
          <w:rFonts w:ascii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stesso.</w:t>
      </w:r>
    </w:p>
    <w:p w14:paraId="79EF7A1D" w14:textId="56BCEBEA" w:rsidR="00A869AE" w:rsidRPr="00933366" w:rsidRDefault="00A869AE" w:rsidP="00933366">
      <w:pPr>
        <w:keepNext/>
        <w:widowControl w:val="0"/>
        <w:tabs>
          <w:tab w:val="left" w:pos="284"/>
        </w:tabs>
        <w:autoSpaceDE w:val="0"/>
        <w:autoSpaceDN w:val="0"/>
        <w:spacing w:before="217" w:after="0" w:line="276" w:lineRule="auto"/>
        <w:ind w:left="567" w:right="680"/>
        <w:jc w:val="center"/>
        <w:rPr>
          <w:rFonts w:ascii="Times New Roman" w:hAnsi="Times New Roman" w:cs="Times New Roman"/>
          <w:b/>
          <w:sz w:val="24"/>
        </w:rPr>
      </w:pPr>
      <w:r w:rsidRPr="00933366">
        <w:rPr>
          <w:rFonts w:ascii="Times New Roman" w:hAnsi="Times New Roman" w:cs="Times New Roman"/>
          <w:b/>
          <w:sz w:val="24"/>
        </w:rPr>
        <w:t>Articolo 9 Conservazione della documentazione</w:t>
      </w:r>
    </w:p>
    <w:p w14:paraId="732CAB09" w14:textId="77777777" w:rsidR="00A869AE" w:rsidRPr="00A869AE" w:rsidRDefault="00A869AE" w:rsidP="00A869AE">
      <w:p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I beneficiari del finanziamento sono obbligati a garantire la conservazione della documentazione progettuale in fascicoli cartacei e/o informatici per almeno 5 (cinque) anni dalla data di conclusione del progetto</w:t>
      </w:r>
      <w:r w:rsidRPr="00A869AE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A869AE">
        <w:rPr>
          <w:rFonts w:ascii="Times New Roman" w:hAnsi="Times New Roman"/>
          <w:sz w:val="24"/>
          <w:szCs w:val="24"/>
        </w:rPr>
        <w:t xml:space="preserve">, dei documenti giustificativi relativi alle spese sostenute, al fine di assicurare la completa tracciabilità delle operazioni - nel rispetto di quanto previsto all’art. 9 punto 4 del decreto-legge 77 </w:t>
      </w:r>
      <w:r w:rsidRPr="00A869AE">
        <w:rPr>
          <w:rFonts w:ascii="Times New Roman" w:hAnsi="Times New Roman"/>
          <w:sz w:val="24"/>
          <w:szCs w:val="24"/>
        </w:rPr>
        <w:lastRenderedPageBreak/>
        <w:t xml:space="preserve">del 31 maggio 2021, convertito con legge n. 108/2021. Tale documentazione, nelle diverse fasi di controllo e verifica previste dal sistema di gestione e controllo del PNRR, dovrà essere messa prontamente a disposizione su richiesta del MUR, del Servizio centrale per il PNRR, dell’Unità di Audit, della Commissione europea, dell’OLAF, della </w:t>
      </w:r>
      <w:proofErr w:type="gramStart"/>
      <w:r w:rsidRPr="00A869AE">
        <w:rPr>
          <w:rFonts w:ascii="Times New Roman" w:hAnsi="Times New Roman"/>
          <w:sz w:val="24"/>
          <w:szCs w:val="24"/>
        </w:rPr>
        <w:t>Corte dei Conti</w:t>
      </w:r>
      <w:proofErr w:type="gramEnd"/>
      <w:r w:rsidRPr="00A869AE">
        <w:rPr>
          <w:rFonts w:ascii="Times New Roman" w:hAnsi="Times New Roman"/>
          <w:sz w:val="24"/>
          <w:szCs w:val="24"/>
        </w:rPr>
        <w:t xml:space="preserve"> europea (ECA), della Procura europea (EPPO) e delle competenti Autorità giudiziarie nazionali. Nel contratto d’obbligo il beneficiario autorizza la Commissione, l’OLAF, la Corte dei conti e l’EPPO a esercitare i diritti di cui all’articolo 129, paragrafo 1, del regolamento finanziario.</w:t>
      </w:r>
    </w:p>
    <w:p w14:paraId="13AA65E5" w14:textId="232E863B" w:rsidR="00A869AE" w:rsidRPr="00A869AE" w:rsidRDefault="00A869AE" w:rsidP="00A869AE">
      <w:pPr>
        <w:keepNext/>
        <w:tabs>
          <w:tab w:val="left" w:pos="284"/>
        </w:tabs>
        <w:spacing w:before="480" w:after="0" w:line="276" w:lineRule="auto"/>
        <w:ind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b/>
          <w:bCs/>
          <w:sz w:val="24"/>
          <w:szCs w:val="24"/>
        </w:rPr>
        <w:t>Articolo 10 Diritto di recesso</w:t>
      </w:r>
    </w:p>
    <w:p w14:paraId="0B13ABC8" w14:textId="77777777" w:rsidR="00A869AE" w:rsidRPr="00A869AE" w:rsidRDefault="00A869AE" w:rsidP="00A869AE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/>
          <w:b/>
          <w:sz w:val="27"/>
          <w:szCs w:val="24"/>
        </w:rPr>
      </w:pPr>
    </w:p>
    <w:p w14:paraId="0CB1C3DE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88" w:lineRule="auto"/>
        <w:ind w:left="112" w:right="103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 xml:space="preserve">Lo </w:t>
      </w:r>
      <w:proofErr w:type="spellStart"/>
      <w:r w:rsidRPr="00A869AE">
        <w:rPr>
          <w:rFonts w:ascii="Times New Roman" w:eastAsia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eastAsia="Times New Roman" w:hAnsi="Times New Roman"/>
          <w:sz w:val="24"/>
          <w:szCs w:val="24"/>
        </w:rPr>
        <w:t>, previa comunicazione al Beneficiario con preavviso di 15 giorni, potrà recedere in qualunque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momento dagli impegni assunti con il presente Atto d’Obbligo nei confronti del Beneficiario qualora, a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 xml:space="preserve">giudizio dallo </w:t>
      </w:r>
      <w:proofErr w:type="spellStart"/>
      <w:r w:rsidRPr="00A869AE">
        <w:rPr>
          <w:rFonts w:ascii="Times New Roman" w:eastAsia="Times New Roman" w:hAnsi="Times New Roman"/>
          <w:sz w:val="24"/>
          <w:szCs w:val="24"/>
        </w:rPr>
        <w:t>Spoke</w:t>
      </w:r>
      <w:proofErr w:type="spellEnd"/>
      <w:r w:rsidRPr="00A869AE">
        <w:rPr>
          <w:rFonts w:ascii="Times New Roman" w:eastAsia="Times New Roman" w:hAnsi="Times New Roman"/>
          <w:sz w:val="24"/>
          <w:szCs w:val="24"/>
        </w:rPr>
        <w:t xml:space="preserve"> stesso e/o dell’HUB, nel corso di svolgimento delle attività, intervengano fatti 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provvedimenti che modifichino la situazione esistente all’atto della stipula del presente Atto d’Obbligo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>o</w:t>
      </w:r>
      <w:r w:rsidRPr="00A869A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>ne</w:t>
      </w:r>
      <w:r w:rsidRPr="00A869A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>rendano</w:t>
      </w:r>
      <w:r w:rsidRPr="00A869A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>impossibile</w:t>
      </w:r>
      <w:r w:rsidRPr="00A869A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>o</w:t>
      </w:r>
      <w:r w:rsidRPr="00A869AE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>inopportuna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la</w:t>
      </w:r>
      <w:r w:rsidRPr="00A869AE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conduzione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</w:t>
      </w:r>
      <w:r w:rsidRPr="00A869A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termine,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senza</w:t>
      </w:r>
      <w:r w:rsidRPr="00A869A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che</w:t>
      </w:r>
      <w:r w:rsidRPr="00A869AE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il</w:t>
      </w:r>
      <w:r w:rsidRPr="00A869A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Beneficiario</w:t>
      </w:r>
      <w:r w:rsidRPr="00A869A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possa</w:t>
      </w:r>
      <w:r w:rsidRPr="00A869AE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eccepire</w:t>
      </w:r>
      <w:r w:rsidRPr="00A869AE">
        <w:rPr>
          <w:rFonts w:ascii="Times New Roman" w:eastAsia="Times New Roman" w:hAnsi="Times New Roman"/>
          <w:spacing w:val="-5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alcunché</w:t>
      </w:r>
      <w:r w:rsidRPr="00A869A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al riguardo.</w:t>
      </w:r>
    </w:p>
    <w:p w14:paraId="1AB3D592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3"/>
          <w:szCs w:val="24"/>
        </w:rPr>
      </w:pPr>
    </w:p>
    <w:p w14:paraId="0015052E" w14:textId="1754A0A1" w:rsidR="00A869AE" w:rsidRPr="00A869AE" w:rsidRDefault="00A869AE" w:rsidP="00A869AE">
      <w:pPr>
        <w:tabs>
          <w:tab w:val="left" w:pos="284"/>
        </w:tabs>
        <w:spacing w:before="480" w:after="0" w:line="276" w:lineRule="auto"/>
        <w:ind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b/>
          <w:bCs/>
          <w:sz w:val="24"/>
          <w:szCs w:val="24"/>
        </w:rPr>
        <w:t xml:space="preserve">Articolo 11 </w:t>
      </w:r>
      <w:r w:rsidRPr="008A229F">
        <w:rPr>
          <w:rFonts w:ascii="Times New Roman" w:hAnsi="Times New Roman"/>
          <w:b/>
          <w:bCs/>
          <w:sz w:val="24"/>
          <w:szCs w:val="24"/>
        </w:rPr>
        <w:t>Informazione, comunicazione e visibilità</w:t>
      </w:r>
    </w:p>
    <w:p w14:paraId="41745F99" w14:textId="1DA9578C" w:rsidR="00A869AE" w:rsidRPr="00A869AE" w:rsidRDefault="00A869AE" w:rsidP="00A869AE">
      <w:p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Per ciascun progetto che usufruisca dei contributi previsti dal  Bando, ogni beneficiario è tenuto a garantire il rispetto degli obblighi in materia di comunicazione e informazione previsti dall’articolo 34 del Regolamento (UE) 2021/241 e informare in modo chiaro che il progetto in corso di realizzazione è stato selezionato e finanziato nell’ambito del Programma PE</w:t>
      </w:r>
      <w:r w:rsidR="008A229F">
        <w:rPr>
          <w:rFonts w:ascii="Times New Roman" w:hAnsi="Times New Roman"/>
          <w:sz w:val="24"/>
          <w:szCs w:val="24"/>
        </w:rPr>
        <w:t>0</w:t>
      </w:r>
      <w:r w:rsidRPr="00A869AE">
        <w:rPr>
          <w:rFonts w:ascii="Times New Roman" w:hAnsi="Times New Roman"/>
          <w:sz w:val="24"/>
          <w:szCs w:val="24"/>
        </w:rPr>
        <w:t>0000005 CUP E63C22002000002</w:t>
      </w:r>
      <w:r w:rsidR="008A229F">
        <w:rPr>
          <w:rFonts w:ascii="Times New Roman" w:hAnsi="Times New Roman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 xml:space="preserve">ed è finanziato nell’ambito del PNRR, con esplicito riferimento al finanziamento da parte dell’Unione europea e all’iniziativa </w:t>
      </w:r>
      <w:proofErr w:type="spellStart"/>
      <w:r w:rsidRPr="00A869AE">
        <w:rPr>
          <w:rFonts w:ascii="Times New Roman" w:hAnsi="Times New Roman"/>
          <w:sz w:val="24"/>
          <w:szCs w:val="24"/>
        </w:rPr>
        <w:t>NextGenerationEU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(ad es. utilizzando la frase “finanziato dall’Unione europea –</w:t>
      </w:r>
      <w:proofErr w:type="spellStart"/>
      <w:r w:rsidRPr="00A869AE">
        <w:rPr>
          <w:rFonts w:ascii="Times New Roman" w:hAnsi="Times New Roman"/>
          <w:sz w:val="24"/>
          <w:szCs w:val="24"/>
        </w:rPr>
        <w:t>NextGenerationEU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), riportando nella documentazione progettuale l’emblema dell’Unione europea </w:t>
      </w:r>
    </w:p>
    <w:p w14:paraId="288438AB" w14:textId="7F6097B6" w:rsidR="00A869AE" w:rsidRPr="00A869AE" w:rsidRDefault="00A869AE" w:rsidP="00A869AE">
      <w:pPr>
        <w:keepNext/>
        <w:tabs>
          <w:tab w:val="left" w:pos="284"/>
        </w:tabs>
        <w:spacing w:before="480" w:after="0" w:line="276" w:lineRule="auto"/>
        <w:ind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b/>
          <w:bCs/>
          <w:sz w:val="24"/>
          <w:szCs w:val="24"/>
        </w:rPr>
        <w:t>Articolo 12 Trattamento Dati</w:t>
      </w:r>
    </w:p>
    <w:p w14:paraId="737EAF31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88" w:lineRule="auto"/>
        <w:ind w:left="112" w:right="101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>Ciascuna Parte si riconosce - ai sensi del Regolamento (UE) n. 679 del 27 aprile 2016 relativo alla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protezione delle persone fisiche con riguardo al trattamento dei dati personali, nonché alla libera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circolazione di tali dati e che abroga la direttiva 95/46/CE (Regolamento generale sulla protezione dei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da"), di seguito “GDPR” - titolare del trattamento dei dati personali, per i dati di propria competenza,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Pr="00A869AE">
        <w:rPr>
          <w:rFonts w:ascii="Times New Roman" w:eastAsia="Times New Roman" w:hAnsi="Times New Roman"/>
          <w:sz w:val="24"/>
          <w:szCs w:val="24"/>
        </w:rPr>
        <w:t>eﬀettuato</w:t>
      </w:r>
      <w:proofErr w:type="spellEnd"/>
      <w:r w:rsidRPr="00A869AE">
        <w:rPr>
          <w:rFonts w:ascii="Times New Roman" w:eastAsia="Times New Roman" w:hAnsi="Times New Roman"/>
          <w:sz w:val="24"/>
          <w:szCs w:val="24"/>
        </w:rPr>
        <w:t xml:space="preserve"> con o senza l'ausilio di processi automatizzati, necessari al fine di adempiere alle funzioni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istituzionali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ed</w:t>
      </w:r>
      <w:r w:rsidRPr="00A869AE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agli</w:t>
      </w:r>
      <w:r w:rsidRPr="00A869A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obblighi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normativi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quelli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correlati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all’attuazione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del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presente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Atto.</w:t>
      </w:r>
    </w:p>
    <w:p w14:paraId="5E13D80B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88" w:lineRule="auto"/>
        <w:ind w:left="112" w:right="104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lastRenderedPageBreak/>
        <w:t>Ciascun titolare è autonomo e risponde dei trattamenti che gestisce sotto la propria responsabilità 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rispetto ai quali ha un potere di controllo sulle strutture organizzative e sulle attrezzature, anche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informatiche,</w:t>
      </w:r>
      <w:r w:rsidRPr="00A869AE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di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cui si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avvale nel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trattamento stesso.</w:t>
      </w:r>
    </w:p>
    <w:p w14:paraId="4725E710" w14:textId="626130C3" w:rsidR="00A869AE" w:rsidRPr="001B457F" w:rsidRDefault="00A869AE" w:rsidP="001B457F">
      <w:pPr>
        <w:widowControl w:val="0"/>
        <w:autoSpaceDE w:val="0"/>
        <w:autoSpaceDN w:val="0"/>
        <w:spacing w:before="120" w:after="0" w:line="288" w:lineRule="auto"/>
        <w:ind w:left="112" w:right="106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>Nell’ambito delle finalità di tale atto e dell’espletamento delle attività previste nell’ambito del progetto</w:t>
      </w:r>
      <w:r w:rsidRPr="00A869AE">
        <w:rPr>
          <w:rFonts w:ascii="Times New Roman" w:eastAsia="Times New Roman" w:hAnsi="Times New Roman"/>
          <w:spacing w:val="-5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di ricerca di cui alle premesse, risultano oggetto di trattamento dati personali comuni, ai sensi dell’art.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4, n. 1 del GDPR, quali, a titolo esemplificativo, dati anagrafici, contabili e fiscali, inerenti al rapporto di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lavoro Non sono oggetto di trattamento, anche le categorie particolari di dati di cui all’art. 9 del Regolamento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dati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personali relativi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 condanne</w:t>
      </w:r>
      <w:r w:rsidRPr="00A869AE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penali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reati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di cui</w:t>
      </w:r>
      <w:r w:rsidRPr="00A869AE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all’art.</w:t>
      </w:r>
      <w:r w:rsidRPr="00A869A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10</w:t>
      </w:r>
      <w:r w:rsidRPr="00A869AE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del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Regolamento.</w:t>
      </w:r>
    </w:p>
    <w:p w14:paraId="141E2B1B" w14:textId="13F2BD9F" w:rsidR="00A869AE" w:rsidRPr="00A869AE" w:rsidRDefault="00A869AE" w:rsidP="00A869AE">
      <w:pPr>
        <w:keepNext/>
        <w:tabs>
          <w:tab w:val="left" w:pos="284"/>
        </w:tabs>
        <w:spacing w:before="480" w:after="0" w:line="276" w:lineRule="auto"/>
        <w:ind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b/>
          <w:sz w:val="24"/>
          <w:szCs w:val="24"/>
        </w:rPr>
        <w:t>Articolo</w:t>
      </w:r>
      <w:r w:rsidRPr="00A869AE">
        <w:rPr>
          <w:rFonts w:ascii="Times New Roman" w:hAnsi="Times New Roman"/>
          <w:b/>
          <w:bCs/>
          <w:sz w:val="24"/>
          <w:szCs w:val="24"/>
        </w:rPr>
        <w:t xml:space="preserve"> 13 Legge applicabile</w:t>
      </w:r>
    </w:p>
    <w:p w14:paraId="1240D058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88" w:lineRule="auto"/>
        <w:ind w:left="112" w:right="100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>L’interpretazione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l’esecuzione</w:t>
      </w:r>
      <w:r w:rsidRPr="00A869AE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del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presente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Atto</w:t>
      </w:r>
      <w:r w:rsidRPr="00A869A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d’Obbligo,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nonché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rapporti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tra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le</w:t>
      </w:r>
      <w:r w:rsidRPr="00A869AE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Parti</w:t>
      </w:r>
      <w:r w:rsidRPr="00A869AE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derivanti</w:t>
      </w:r>
      <w:r w:rsidRPr="00A869AE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dallo</w:t>
      </w:r>
      <w:r w:rsidRPr="00A869AE">
        <w:rPr>
          <w:rFonts w:ascii="Times New Roman" w:eastAsia="Times New Roman" w:hAnsi="Times New Roman"/>
          <w:spacing w:val="-52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stesso,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sono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regolati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dalla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legge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italiana,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con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esclusione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dell’applicazione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delle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norme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di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diritto</w:t>
      </w:r>
      <w:r w:rsidRPr="00A869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internazionale</w:t>
      </w:r>
      <w:r w:rsidRPr="00A869AE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eastAsia="Times New Roman" w:hAnsi="Times New Roman"/>
          <w:sz w:val="24"/>
          <w:szCs w:val="24"/>
        </w:rPr>
        <w:t>privato.</w:t>
      </w:r>
    </w:p>
    <w:p w14:paraId="5B856A14" w14:textId="1A079543" w:rsidR="00A869AE" w:rsidRPr="00A869AE" w:rsidRDefault="00A869AE" w:rsidP="00A869AE">
      <w:pPr>
        <w:tabs>
          <w:tab w:val="left" w:pos="284"/>
        </w:tabs>
        <w:spacing w:before="480" w:after="0" w:line="276" w:lineRule="auto"/>
        <w:ind w:right="57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b/>
          <w:bCs/>
          <w:sz w:val="24"/>
          <w:szCs w:val="24"/>
        </w:rPr>
        <w:t xml:space="preserve">Articolo 14 </w:t>
      </w:r>
      <w:r w:rsidRPr="001B457F">
        <w:rPr>
          <w:rFonts w:ascii="Times New Roman" w:hAnsi="Times New Roman"/>
          <w:b/>
          <w:bCs/>
          <w:sz w:val="24"/>
          <w:szCs w:val="24"/>
        </w:rPr>
        <w:t>Informazione, comunicazione e visibilità</w:t>
      </w:r>
    </w:p>
    <w:p w14:paraId="28435E41" w14:textId="34FCB2A3" w:rsidR="00A869AE" w:rsidRPr="00A869AE" w:rsidRDefault="00A869AE" w:rsidP="00A869AE">
      <w:pPr>
        <w:tabs>
          <w:tab w:val="left" w:pos="284"/>
        </w:tabs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Per ciascun progetto che usufruisca dei contributi previsti dal presente Bando, ogni beneficiario è tenuto a garantire il rispetto degli obblighi in materia di comunicazione e informazione previsti dall’articolo 34 del Regolamento (UE) 2021/241 e informare in modo chiaro che il progetto in corso di realizzazione è stato selezionato e finanziato nell’ambito del Programma PE0</w:t>
      </w:r>
      <w:r w:rsidR="000D326B">
        <w:rPr>
          <w:rFonts w:ascii="Times New Roman" w:hAnsi="Times New Roman"/>
          <w:sz w:val="24"/>
          <w:szCs w:val="24"/>
        </w:rPr>
        <w:t>0</w:t>
      </w:r>
      <w:r w:rsidRPr="00A869AE">
        <w:rPr>
          <w:rFonts w:ascii="Times New Roman" w:hAnsi="Times New Roman"/>
          <w:sz w:val="24"/>
          <w:szCs w:val="24"/>
        </w:rPr>
        <w:t>000005 CUP E63C22002000002</w:t>
      </w:r>
      <w:r w:rsidR="000D326B">
        <w:rPr>
          <w:rFonts w:ascii="Times New Roman" w:hAnsi="Times New Roman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 xml:space="preserve">ed è finanziato nell’ambito del PNRR, con esplicito riferimento al finanziamento da parte dell’Unione europea e all’iniziativa </w:t>
      </w:r>
      <w:proofErr w:type="spellStart"/>
      <w:r w:rsidRPr="00A869AE">
        <w:rPr>
          <w:rFonts w:ascii="Times New Roman" w:hAnsi="Times New Roman"/>
          <w:sz w:val="24"/>
          <w:szCs w:val="24"/>
        </w:rPr>
        <w:t>NextGenerationEU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 (ad es. utilizzando la frase “finanziato dall’Unione europea –</w:t>
      </w:r>
      <w:proofErr w:type="spellStart"/>
      <w:r w:rsidRPr="00A869AE">
        <w:rPr>
          <w:rFonts w:ascii="Times New Roman" w:hAnsi="Times New Roman"/>
          <w:sz w:val="24"/>
          <w:szCs w:val="24"/>
        </w:rPr>
        <w:t>NextGenerationEU</w:t>
      </w:r>
      <w:proofErr w:type="spellEnd"/>
      <w:r w:rsidRPr="00A869AE">
        <w:rPr>
          <w:rFonts w:ascii="Times New Roman" w:hAnsi="Times New Roman"/>
          <w:sz w:val="24"/>
          <w:szCs w:val="24"/>
        </w:rPr>
        <w:t xml:space="preserve">), riportando nella documentazione progettuale l’emblema dell’Unione europea </w:t>
      </w:r>
    </w:p>
    <w:p w14:paraId="3B83A70D" w14:textId="4785DA6B" w:rsidR="00A869AE" w:rsidRPr="00A869AE" w:rsidRDefault="00A869AE" w:rsidP="00A869AE">
      <w:pPr>
        <w:keepNext/>
        <w:widowControl w:val="0"/>
        <w:tabs>
          <w:tab w:val="left" w:pos="284"/>
        </w:tabs>
        <w:autoSpaceDE w:val="0"/>
        <w:autoSpaceDN w:val="0"/>
        <w:spacing w:before="480" w:after="0" w:line="276" w:lineRule="auto"/>
        <w:ind w:right="680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9AE">
        <w:rPr>
          <w:rFonts w:ascii="Times New Roman" w:hAnsi="Times New Roman"/>
          <w:b/>
          <w:bCs/>
          <w:sz w:val="24"/>
          <w:szCs w:val="24"/>
        </w:rPr>
        <w:t xml:space="preserve">Articolo 15 </w:t>
      </w:r>
      <w:r w:rsidRPr="006E6158">
        <w:rPr>
          <w:rFonts w:ascii="Times New Roman" w:hAnsi="Times New Roman"/>
          <w:b/>
          <w:bCs/>
          <w:sz w:val="24"/>
          <w:szCs w:val="24"/>
        </w:rPr>
        <w:t>Tutela della privacy</w:t>
      </w:r>
    </w:p>
    <w:p w14:paraId="44AC637B" w14:textId="77777777" w:rsidR="00A869AE" w:rsidRPr="00A869AE" w:rsidRDefault="00A869AE" w:rsidP="00A869AE">
      <w:pPr>
        <w:widowControl w:val="0"/>
        <w:tabs>
          <w:tab w:val="left" w:pos="284"/>
        </w:tabs>
        <w:autoSpaceDE w:val="0"/>
        <w:autoSpaceDN w:val="0"/>
        <w:spacing w:before="240" w:after="0" w:line="276" w:lineRule="auto"/>
        <w:ind w:right="111"/>
        <w:jc w:val="both"/>
        <w:rPr>
          <w:rFonts w:ascii="Times New Roman" w:eastAsia="Times New Roman" w:hAnsi="Times New Roman"/>
          <w:sz w:val="24"/>
          <w:szCs w:val="24"/>
        </w:rPr>
      </w:pPr>
      <w:r w:rsidRPr="00A869AE">
        <w:rPr>
          <w:rFonts w:ascii="Times New Roman" w:eastAsia="Times New Roman" w:hAnsi="Times New Roman"/>
          <w:sz w:val="24"/>
          <w:szCs w:val="24"/>
        </w:rPr>
        <w:t xml:space="preserve">Tutti i dati personali di cui UNINA verrà in possesso in occasione del presente procedimento verranno trattati nel rispetto del DLGS del 30/06/2003 n.196 e </w:t>
      </w:r>
      <w:proofErr w:type="spellStart"/>
      <w:proofErr w:type="gramStart"/>
      <w:r w:rsidRPr="00A869AE">
        <w:rPr>
          <w:rFonts w:ascii="Times New Roman" w:eastAsia="Times New Roman" w:hAnsi="Times New Roman"/>
          <w:sz w:val="24"/>
          <w:szCs w:val="24"/>
        </w:rPr>
        <w:t>ss.mm.ii</w:t>
      </w:r>
      <w:proofErr w:type="spellEnd"/>
      <w:proofErr w:type="gramEnd"/>
      <w:r w:rsidRPr="00A869AE">
        <w:rPr>
          <w:rFonts w:ascii="Times New Roman" w:eastAsia="Times New Roman" w:hAnsi="Times New Roman"/>
          <w:sz w:val="24"/>
          <w:szCs w:val="24"/>
        </w:rPr>
        <w:t xml:space="preserve"> nonché ai sensi della disciplina del Regolamento UE 2016/679 e delle disposizioni contenute nell’art.22 del Regolamento UE 2021/241.</w:t>
      </w:r>
    </w:p>
    <w:p w14:paraId="247143A5" w14:textId="4BC0EB94" w:rsidR="00A869AE" w:rsidRPr="00A869AE" w:rsidRDefault="00A869AE" w:rsidP="00A869AE">
      <w:pPr>
        <w:widowControl w:val="0"/>
        <w:tabs>
          <w:tab w:val="left" w:pos="284"/>
        </w:tabs>
        <w:autoSpaceDE w:val="0"/>
        <w:autoSpaceDN w:val="0"/>
        <w:spacing w:before="48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869AE">
        <w:rPr>
          <w:rFonts w:ascii="Times New Roman" w:hAnsi="Times New Roman"/>
          <w:b/>
          <w:sz w:val="24"/>
          <w:szCs w:val="24"/>
        </w:rPr>
        <w:t>Articolo</w:t>
      </w:r>
      <w:r w:rsidRPr="00A869A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b/>
          <w:sz w:val="24"/>
          <w:szCs w:val="24"/>
        </w:rPr>
        <w:t xml:space="preserve">16 </w:t>
      </w:r>
      <w:r w:rsidRPr="004A5C05">
        <w:rPr>
          <w:rFonts w:ascii="Times New Roman" w:hAnsi="Times New Roman"/>
          <w:b/>
          <w:iCs/>
          <w:sz w:val="24"/>
          <w:szCs w:val="24"/>
        </w:rPr>
        <w:t>Controversie</w:t>
      </w:r>
      <w:r w:rsidRPr="004A5C05">
        <w:rPr>
          <w:rFonts w:ascii="Times New Roman" w:hAnsi="Times New Roman"/>
          <w:b/>
          <w:iCs/>
          <w:spacing w:val="-2"/>
          <w:sz w:val="24"/>
          <w:szCs w:val="24"/>
        </w:rPr>
        <w:t xml:space="preserve"> </w:t>
      </w:r>
      <w:r w:rsidRPr="004A5C05">
        <w:rPr>
          <w:rFonts w:ascii="Times New Roman" w:hAnsi="Times New Roman"/>
          <w:b/>
          <w:iCs/>
          <w:sz w:val="24"/>
          <w:szCs w:val="24"/>
        </w:rPr>
        <w:t>e foro competente</w:t>
      </w:r>
    </w:p>
    <w:p w14:paraId="283CE23E" w14:textId="77777777" w:rsidR="00A869AE" w:rsidRPr="00A869AE" w:rsidRDefault="00A869AE" w:rsidP="00A869AE">
      <w:pPr>
        <w:widowControl w:val="0"/>
        <w:tabs>
          <w:tab w:val="left" w:pos="284"/>
        </w:tabs>
        <w:autoSpaceDE w:val="0"/>
        <w:autoSpaceDN w:val="0"/>
        <w:spacing w:before="120" w:after="0" w:line="276" w:lineRule="auto"/>
        <w:ind w:right="349"/>
        <w:jc w:val="both"/>
        <w:rPr>
          <w:rFonts w:ascii="Times New Roman" w:hAnsi="Times New Roman"/>
          <w:sz w:val="24"/>
          <w:szCs w:val="24"/>
        </w:rPr>
      </w:pPr>
      <w:r w:rsidRPr="00A869AE">
        <w:rPr>
          <w:rFonts w:ascii="Times New Roman" w:hAnsi="Times New Roman"/>
          <w:sz w:val="24"/>
          <w:szCs w:val="24"/>
        </w:rPr>
        <w:t>Per le eventuali controversie che dovessero sorgere in ordine al presente Avviso il Foro</w:t>
      </w:r>
      <w:r w:rsidRPr="00A869A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competente</w:t>
      </w:r>
      <w:r w:rsidRPr="00A869A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è</w:t>
      </w:r>
      <w:r w:rsidRPr="00A869A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il</w:t>
      </w:r>
      <w:r w:rsidRPr="00A869A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869AE">
        <w:rPr>
          <w:rFonts w:ascii="Times New Roman" w:hAnsi="Times New Roman"/>
          <w:sz w:val="24"/>
          <w:szCs w:val="24"/>
        </w:rPr>
        <w:t>Foro di Napoli.</w:t>
      </w:r>
    </w:p>
    <w:p w14:paraId="42C01B12" w14:textId="77777777" w:rsidR="00A869AE" w:rsidRPr="00A869AE" w:rsidRDefault="00A869AE" w:rsidP="00A869AE">
      <w:pPr>
        <w:spacing w:before="42"/>
        <w:ind w:left="4480"/>
        <w:rPr>
          <w:rFonts w:ascii="Times New Roman" w:hAnsi="Times New Roman" w:cs="Times New Roman"/>
          <w:b/>
          <w:sz w:val="24"/>
        </w:rPr>
      </w:pPr>
      <w:r w:rsidRPr="00A869AE">
        <w:rPr>
          <w:rFonts w:ascii="Times New Roman" w:hAnsi="Times New Roman" w:cs="Times New Roman"/>
          <w:b/>
          <w:sz w:val="24"/>
        </w:rPr>
        <w:lastRenderedPageBreak/>
        <w:t>Articolo 17 Efficacia</w:t>
      </w:r>
    </w:p>
    <w:p w14:paraId="5EDB645E" w14:textId="2B80CC93" w:rsidR="00A869AE" w:rsidRPr="00A869AE" w:rsidRDefault="00A869AE" w:rsidP="00A869AE">
      <w:pPr>
        <w:widowControl w:val="0"/>
        <w:autoSpaceDE w:val="0"/>
        <w:autoSpaceDN w:val="0"/>
        <w:spacing w:before="37" w:after="0" w:line="276" w:lineRule="auto"/>
        <w:ind w:left="114" w:right="513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>L’efficacia del presente Atto, debitamente sottoscritto dal Soggetto Beneficiario</w:t>
      </w:r>
      <w:r w:rsidR="0098219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 decorre dalla data di acquisizione/controfirma da parte del Responsabile dello SPOKE.</w:t>
      </w:r>
    </w:p>
    <w:p w14:paraId="21A65A65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5E68BEB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Il Soggetto Beneficiario, ai sensi e per gli effetti degli artt. 1341-1342 c.c., dichiara di approvare specificamente le suddette clausole del presente atto: artt. da 1 a 12. </w:t>
      </w:r>
    </w:p>
    <w:p w14:paraId="789264D3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32E42C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Luogo, data </w:t>
      </w:r>
    </w:p>
    <w:p w14:paraId="726826A7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9FB720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41142D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sz w:val="24"/>
          <w:szCs w:val="24"/>
        </w:rPr>
        <w:t xml:space="preserve">Per il Soggetto Beneficiario </w:t>
      </w:r>
    </w:p>
    <w:p w14:paraId="1DAFDC1D" w14:textId="77777777" w:rsidR="00A869AE" w:rsidRPr="00A869AE" w:rsidRDefault="00A869AE" w:rsidP="00A869AE">
      <w:pPr>
        <w:widowControl w:val="0"/>
        <w:autoSpaceDE w:val="0"/>
        <w:autoSpaceDN w:val="0"/>
        <w:spacing w:before="120" w:after="0" w:line="276" w:lineRule="auto"/>
        <w:ind w:left="114" w:right="51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869AE">
        <w:rPr>
          <w:rFonts w:ascii="Times New Roman" w:eastAsia="Times New Roman" w:hAnsi="Times New Roman" w:cs="Times New Roman"/>
          <w:i/>
          <w:sz w:val="24"/>
          <w:szCs w:val="24"/>
        </w:rPr>
        <w:t xml:space="preserve">Firma digitale </w:t>
      </w:r>
    </w:p>
    <w:p w14:paraId="7E9C0F3C" w14:textId="77777777" w:rsidR="00A869AE" w:rsidRPr="00A869AE" w:rsidRDefault="00A869AE" w:rsidP="00A869AE">
      <w:pPr>
        <w:rPr>
          <w:rFonts w:ascii="Times New Roman" w:hAnsi="Times New Roman" w:cs="Times New Roman"/>
        </w:rPr>
      </w:pPr>
    </w:p>
    <w:p w14:paraId="790B04B2" w14:textId="77777777" w:rsidR="00A869AE" w:rsidRPr="00F5676F" w:rsidRDefault="00A869AE" w:rsidP="00424291"/>
    <w:sectPr w:rsidR="00A869AE" w:rsidRPr="00F5676F" w:rsidSect="00923089">
      <w:headerReference w:type="default" r:id="rId12"/>
      <w:footerReference w:type="default" r:id="rId13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B584" w14:textId="77777777" w:rsidR="00251F4F" w:rsidRDefault="00251F4F" w:rsidP="00BA2D82">
      <w:pPr>
        <w:spacing w:after="0" w:line="240" w:lineRule="auto"/>
      </w:pPr>
      <w:r>
        <w:separator/>
      </w:r>
    </w:p>
  </w:endnote>
  <w:endnote w:type="continuationSeparator" w:id="0">
    <w:p w14:paraId="2D26011B" w14:textId="77777777" w:rsidR="00251F4F" w:rsidRDefault="00251F4F" w:rsidP="00BA2D82">
      <w:pPr>
        <w:spacing w:after="0" w:line="240" w:lineRule="auto"/>
      </w:pPr>
      <w:r>
        <w:continuationSeparator/>
      </w:r>
    </w:p>
  </w:endnote>
  <w:endnote w:type="continuationNotice" w:id="1">
    <w:p w14:paraId="2F7972E8" w14:textId="77777777" w:rsidR="00251F4F" w:rsidRDefault="00251F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16C5AFF5" w:rsidR="00940CFB" w:rsidRDefault="00940C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47CAE" w14:textId="77777777" w:rsidR="00A869AE" w:rsidRDefault="00A869AE"/>
  <w:p w14:paraId="4916167A" w14:textId="77777777" w:rsidR="00A869AE" w:rsidRDefault="00A869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79CF" w14:textId="77777777" w:rsidR="00251F4F" w:rsidRDefault="00251F4F" w:rsidP="00BA2D82">
      <w:pPr>
        <w:spacing w:after="0" w:line="240" w:lineRule="auto"/>
      </w:pPr>
      <w:r>
        <w:separator/>
      </w:r>
    </w:p>
  </w:footnote>
  <w:footnote w:type="continuationSeparator" w:id="0">
    <w:p w14:paraId="7EE0575F" w14:textId="77777777" w:rsidR="00251F4F" w:rsidRDefault="00251F4F" w:rsidP="00BA2D82">
      <w:pPr>
        <w:spacing w:after="0" w:line="240" w:lineRule="auto"/>
      </w:pPr>
      <w:r>
        <w:continuationSeparator/>
      </w:r>
    </w:p>
  </w:footnote>
  <w:footnote w:type="continuationNotice" w:id="1">
    <w:p w14:paraId="24A52CA1" w14:textId="77777777" w:rsidR="00251F4F" w:rsidRDefault="00251F4F">
      <w:pPr>
        <w:spacing w:after="0" w:line="240" w:lineRule="auto"/>
      </w:pPr>
    </w:p>
  </w:footnote>
  <w:footnote w:id="2">
    <w:p w14:paraId="440174AC" w14:textId="77777777" w:rsidR="00A869AE" w:rsidRPr="004C6FED" w:rsidRDefault="00A869AE" w:rsidP="00A869A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1B834A4A" w:rsidR="00940CFB" w:rsidRPr="006715FA" w:rsidRDefault="00940CFB">
    <w:pPr>
      <w:pStyle w:val="Intestazione"/>
      <w:rPr>
        <w:sz w:val="16"/>
        <w:szCs w:val="16"/>
      </w:rPr>
    </w:pPr>
  </w:p>
  <w:p w14:paraId="15374463" w14:textId="0D90F903" w:rsidR="00940CFB" w:rsidRDefault="00940CFB"/>
  <w:p w14:paraId="19EAFDED" w14:textId="77777777" w:rsidR="00A869AE" w:rsidRDefault="00A869AE"/>
  <w:p w14:paraId="7E5C032E" w14:textId="77777777" w:rsidR="00A869AE" w:rsidRDefault="00A86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1F4F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5752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C7DEC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teneo@pec.unina.it.%2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4393</Words>
  <Characters>25041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VALERIO PELLEGRINI</cp:lastModifiedBy>
  <cp:revision>86</cp:revision>
  <cp:lastPrinted>2023-07-24T15:20:00Z</cp:lastPrinted>
  <dcterms:created xsi:type="dcterms:W3CDTF">2023-10-25T10:19:00Z</dcterms:created>
  <dcterms:modified xsi:type="dcterms:W3CDTF">2023-10-26T11:05:00Z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